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F85B49" w:rsidRDefault="00081B01" w:rsidP="002C68C3">
      <w:pPr>
        <w:rPr>
          <w:rFonts w:cs="Times New Roman"/>
          <w:color w:val="002060"/>
          <w:sz w:val="28"/>
          <w:szCs w:val="28"/>
        </w:rPr>
      </w:pPr>
      <w:bookmarkStart w:id="0" w:name="_Hlk97204191"/>
      <w:r w:rsidRPr="00F85B49">
        <w:rPr>
          <w:rFonts w:cs="Times New Roman"/>
          <w:noProof/>
          <w:color w:val="002060"/>
          <w:sz w:val="28"/>
          <w:szCs w:val="28"/>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36BB8815" w:rsidR="009724BF" w:rsidRPr="009D6D17" w:rsidRDefault="00880C54" w:rsidP="003422C4">
      <w:pPr>
        <w:rPr>
          <w:rFonts w:cs="Times New Roman"/>
          <w:b/>
          <w:color w:val="002060"/>
          <w:sz w:val="24"/>
          <w:szCs w:val="24"/>
        </w:rPr>
      </w:pPr>
      <w:r>
        <w:rPr>
          <w:rFonts w:cs="Times New Roman"/>
          <w:b/>
          <w:color w:val="002060"/>
          <w:sz w:val="24"/>
          <w:szCs w:val="24"/>
        </w:rPr>
        <w:t xml:space="preserve">February </w:t>
      </w:r>
      <w:r w:rsidR="00EF2E30" w:rsidRPr="009D6D17">
        <w:rPr>
          <w:rFonts w:cs="Times New Roman"/>
          <w:b/>
          <w:color w:val="002060"/>
          <w:sz w:val="24"/>
          <w:szCs w:val="24"/>
        </w:rPr>
        <w:t>202</w:t>
      </w:r>
      <w:r w:rsidR="00166BAA">
        <w:rPr>
          <w:rFonts w:cs="Times New Roman"/>
          <w:b/>
          <w:color w:val="002060"/>
          <w:sz w:val="24"/>
          <w:szCs w:val="24"/>
        </w:rPr>
        <w:t>6</w:t>
      </w:r>
      <w:r w:rsidR="000D0154" w:rsidRPr="009D6D17">
        <w:rPr>
          <w:rFonts w:cs="Times New Roman"/>
          <w:b/>
          <w:color w:val="002060"/>
          <w:sz w:val="24"/>
          <w:szCs w:val="24"/>
        </w:rPr>
        <w:t xml:space="preserve"> edition</w:t>
      </w:r>
    </w:p>
    <w:p w14:paraId="42DDD535" w14:textId="4B246D10" w:rsidR="006A605F" w:rsidRPr="00F85B49" w:rsidRDefault="006A605F" w:rsidP="00767E59">
      <w:pPr>
        <w:pStyle w:val="Heading1"/>
        <w:rPr>
          <w:rFonts w:cs="Times New Roman"/>
          <w:b w:val="0"/>
        </w:rPr>
      </w:pPr>
      <w:bookmarkStart w:id="1" w:name="Introduction"/>
      <w:bookmarkStart w:id="2" w:name="_Ref97705660"/>
      <w:bookmarkEnd w:id="1"/>
      <w:r w:rsidRPr="00F85B49">
        <w:rPr>
          <w:rFonts w:cs="Times New Roman"/>
          <w:b w:val="0"/>
        </w:rPr>
        <w:t>Introduction</w:t>
      </w:r>
      <w:bookmarkEnd w:id="2"/>
    </w:p>
    <w:p w14:paraId="58620BD4" w14:textId="4D48D77F" w:rsidR="001E4672" w:rsidRPr="00F85B49" w:rsidRDefault="007A144A" w:rsidP="00767E59">
      <w:pPr>
        <w:rPr>
          <w:rFonts w:cs="Times New Roman"/>
        </w:rPr>
      </w:pPr>
      <w:r w:rsidRPr="00F85B49">
        <w:rPr>
          <w:rFonts w:cs="Times New Roman"/>
          <w:szCs w:val="20"/>
        </w:rPr>
        <w:t>W</w:t>
      </w:r>
      <w:bookmarkStart w:id="3" w:name="_Hlk97632346"/>
      <w:r w:rsidR="009D6D17">
        <w:rPr>
          <w:rFonts w:cs="Times New Roman"/>
          <w:szCs w:val="20"/>
        </w:rPr>
        <w:t xml:space="preserve">elcome to </w:t>
      </w:r>
      <w:r w:rsidR="00880C54" w:rsidRPr="00880C54">
        <w:rPr>
          <w:rFonts w:cs="Times New Roman"/>
          <w:b/>
          <w:bCs/>
          <w:color w:val="002060"/>
          <w:szCs w:val="20"/>
        </w:rPr>
        <w:t>February</w:t>
      </w:r>
      <w:r w:rsidR="00841980">
        <w:rPr>
          <w:rFonts w:cs="Times New Roman"/>
          <w:b/>
          <w:bCs/>
          <w:color w:val="002060"/>
          <w:szCs w:val="20"/>
        </w:rPr>
        <w:t xml:space="preserve"> </w:t>
      </w:r>
      <w:r w:rsidR="005F2F4D">
        <w:rPr>
          <w:rFonts w:cs="Times New Roman"/>
          <w:b/>
          <w:bCs/>
          <w:color w:val="002060"/>
          <w:szCs w:val="20"/>
        </w:rPr>
        <w:t>202</w:t>
      </w:r>
      <w:r w:rsidR="00166BAA">
        <w:rPr>
          <w:rFonts w:cs="Times New Roman"/>
          <w:b/>
          <w:bCs/>
          <w:color w:val="002060"/>
          <w:szCs w:val="20"/>
        </w:rPr>
        <w:t>6</w:t>
      </w:r>
      <w:r w:rsidR="008D752A" w:rsidRPr="00B87645">
        <w:rPr>
          <w:rFonts w:cs="Times New Roman"/>
          <w:b/>
          <w:bCs/>
          <w:color w:val="002060"/>
          <w:szCs w:val="20"/>
        </w:rPr>
        <w:t xml:space="preserve"> </w:t>
      </w:r>
      <w:r w:rsidR="002D19EC" w:rsidRPr="00B87645">
        <w:rPr>
          <w:rFonts w:cs="Times New Roman"/>
          <w:b/>
          <w:bCs/>
          <w:color w:val="002060"/>
          <w:szCs w:val="20"/>
        </w:rPr>
        <w:t>GPA E</w:t>
      </w:r>
      <w:r w:rsidR="001E4672" w:rsidRPr="00B87645">
        <w:rPr>
          <w:rFonts w:cs="Times New Roman"/>
          <w:b/>
          <w:bCs/>
          <w:color w:val="002060"/>
          <w:szCs w:val="20"/>
        </w:rPr>
        <w:t xml:space="preserve">vidence </w:t>
      </w:r>
      <w:r w:rsidR="002D19EC" w:rsidRPr="00B87645">
        <w:rPr>
          <w:rFonts w:cs="Times New Roman"/>
          <w:b/>
          <w:bCs/>
          <w:color w:val="002060"/>
          <w:szCs w:val="20"/>
        </w:rPr>
        <w:t>U</w:t>
      </w:r>
      <w:r w:rsidR="001E4672" w:rsidRPr="00B87645">
        <w:rPr>
          <w:rFonts w:cs="Times New Roman"/>
          <w:b/>
          <w:bCs/>
          <w:color w:val="002060"/>
          <w:szCs w:val="20"/>
        </w:rPr>
        <w:t>pdates</w:t>
      </w:r>
      <w:bookmarkEnd w:id="3"/>
      <w:r w:rsidR="001E4672" w:rsidRPr="00F85B49">
        <w:rPr>
          <w:rFonts w:cs="Times New Roman"/>
          <w:szCs w:val="20"/>
        </w:rPr>
        <w:t>, bring</w:t>
      </w:r>
      <w:r w:rsidR="001B7736" w:rsidRPr="00F85B49">
        <w:rPr>
          <w:rFonts w:cs="Times New Roman"/>
          <w:szCs w:val="20"/>
        </w:rPr>
        <w:t>ing</w:t>
      </w:r>
      <w:r w:rsidR="001B7736" w:rsidRPr="00F85B49">
        <w:rPr>
          <w:rFonts w:cs="Times New Roman"/>
        </w:rPr>
        <w:t xml:space="preserve"> </w:t>
      </w:r>
      <w:r w:rsidR="001E4672" w:rsidRPr="00F85B49">
        <w:rPr>
          <w:rFonts w:cs="Times New Roman"/>
        </w:rPr>
        <w:t xml:space="preserve">you </w:t>
      </w:r>
      <w:r w:rsidR="009C4BD3">
        <w:rPr>
          <w:rFonts w:cs="Times New Roman"/>
        </w:rPr>
        <w:t xml:space="preserve">the </w:t>
      </w:r>
      <w:r w:rsidR="00A51FF0" w:rsidRPr="00F85B49">
        <w:rPr>
          <w:rFonts w:cs="Times New Roman"/>
        </w:rPr>
        <w:t>latest e</w:t>
      </w:r>
      <w:r w:rsidR="001B7736" w:rsidRPr="00F85B49">
        <w:rPr>
          <w:rFonts w:cs="Times New Roman"/>
        </w:rPr>
        <w:t xml:space="preserve">vidence updates on </w:t>
      </w:r>
      <w:r w:rsidR="00A51FF0" w:rsidRPr="00F85B49">
        <w:rPr>
          <w:rFonts w:cs="Times New Roman"/>
        </w:rPr>
        <w:t xml:space="preserve">physiotherapy </w:t>
      </w:r>
      <w:r w:rsidR="002D19EC" w:rsidRPr="00F85B49">
        <w:rPr>
          <w:rFonts w:cs="Times New Roman"/>
        </w:rPr>
        <w:t>interventions</w:t>
      </w:r>
      <w:r w:rsidR="00A51FF0" w:rsidRPr="00F85B49">
        <w:rPr>
          <w:rFonts w:cs="Times New Roman"/>
        </w:rPr>
        <w:t xml:space="preserve"> in some common conditions </w:t>
      </w:r>
      <w:r w:rsidR="00AB42A0" w:rsidRPr="00F85B49">
        <w:rPr>
          <w:rFonts w:cs="Times New Roman"/>
        </w:rPr>
        <w:t xml:space="preserve">seen </w:t>
      </w:r>
      <w:r w:rsidR="00A51FF0" w:rsidRPr="00F85B49">
        <w:rPr>
          <w:rFonts w:cs="Times New Roman"/>
        </w:rPr>
        <w:t>within the Ghanaian physiotherapy context</w:t>
      </w:r>
      <w:r w:rsidR="00666B00" w:rsidRPr="00F85B49">
        <w:rPr>
          <w:rFonts w:cs="Times New Roman"/>
        </w:rPr>
        <w:t xml:space="preserve">. In this </w:t>
      </w:r>
      <w:r w:rsidR="00823C75" w:rsidRPr="00F85B49">
        <w:rPr>
          <w:rFonts w:cs="Times New Roman"/>
        </w:rPr>
        <w:t xml:space="preserve">and </w:t>
      </w:r>
      <w:r w:rsidR="00666B00" w:rsidRPr="00F85B49">
        <w:rPr>
          <w:rFonts w:cs="Times New Roman"/>
        </w:rPr>
        <w:t xml:space="preserve">subsequent editions, we bring you updates on </w:t>
      </w:r>
      <w:r w:rsidR="002D19EC" w:rsidRPr="00F85B49">
        <w:rPr>
          <w:rFonts w:cs="Times New Roman"/>
        </w:rPr>
        <w:t>Cerebral palsy, Low back</w:t>
      </w:r>
      <w:r w:rsidR="00FA119E" w:rsidRPr="00F85B49">
        <w:rPr>
          <w:rFonts w:cs="Times New Roman"/>
        </w:rPr>
        <w:t xml:space="preserve"> pain</w:t>
      </w:r>
      <w:r w:rsidR="002D19EC" w:rsidRPr="00F85B49">
        <w:rPr>
          <w:rFonts w:cs="Times New Roman"/>
        </w:rPr>
        <w:t>, Stroke</w:t>
      </w:r>
      <w:r w:rsidR="009C4BD3">
        <w:rPr>
          <w:rFonts w:cs="Times New Roman"/>
        </w:rPr>
        <w:t>,</w:t>
      </w:r>
      <w:r w:rsidR="002D19EC" w:rsidRPr="00F85B49">
        <w:rPr>
          <w:rFonts w:cs="Times New Roman"/>
        </w:rPr>
        <w:t xml:space="preserve"> and Parkinson’s disease</w:t>
      </w:r>
      <w:r w:rsidR="00666B00" w:rsidRPr="00F85B49">
        <w:rPr>
          <w:rFonts w:cs="Times New Roman"/>
        </w:rPr>
        <w:t>.</w:t>
      </w:r>
      <w:r w:rsidR="002D19EC" w:rsidRPr="00F85B49">
        <w:rPr>
          <w:rFonts w:cs="Times New Roman"/>
        </w:rPr>
        <w:t xml:space="preserve"> </w:t>
      </w:r>
      <w:r w:rsidR="00666B00" w:rsidRPr="00F85B49">
        <w:rPr>
          <w:rFonts w:cs="Times New Roman"/>
        </w:rPr>
        <w:t xml:space="preserve">We look forward to </w:t>
      </w:r>
      <w:r w:rsidR="000F0975" w:rsidRPr="00F85B49">
        <w:rPr>
          <w:rFonts w:cs="Times New Roman"/>
        </w:rPr>
        <w:t>expanding the condition portfolio based on your interest</w:t>
      </w:r>
      <w:r w:rsidR="00BE2FD0" w:rsidRPr="00F85B49">
        <w:rPr>
          <w:rFonts w:cs="Times New Roman"/>
        </w:rPr>
        <w:t xml:space="preserve"> and</w:t>
      </w:r>
      <w:r w:rsidR="002D28EE" w:rsidRPr="00F85B49">
        <w:rPr>
          <w:rFonts w:cs="Times New Roman"/>
        </w:rPr>
        <w:t xml:space="preserve"> </w:t>
      </w:r>
      <w:r w:rsidR="000F0975" w:rsidRPr="00F85B49">
        <w:rPr>
          <w:rFonts w:cs="Times New Roman"/>
        </w:rPr>
        <w:t>up</w:t>
      </w:r>
      <w:r w:rsidR="006B3610" w:rsidRPr="00F85B49">
        <w:rPr>
          <w:rFonts w:cs="Times New Roman"/>
        </w:rPr>
        <w:t>take</w:t>
      </w:r>
      <w:r w:rsidR="00BE2FD0" w:rsidRPr="00F85B49">
        <w:rPr>
          <w:rFonts w:cs="Times New Roman"/>
        </w:rPr>
        <w:t>,</w:t>
      </w:r>
      <w:r w:rsidR="002D28EE" w:rsidRPr="00F85B49">
        <w:rPr>
          <w:rFonts w:cs="Times New Roman"/>
        </w:rPr>
        <w:t xml:space="preserve"> and the formation of an evidence-based </w:t>
      </w:r>
      <w:r w:rsidR="007451BB" w:rsidRPr="00F85B49">
        <w:rPr>
          <w:rFonts w:cs="Times New Roman"/>
        </w:rPr>
        <w:t xml:space="preserve">practice </w:t>
      </w:r>
      <w:r w:rsidR="002D28EE" w:rsidRPr="00F85B49">
        <w:rPr>
          <w:rFonts w:cs="Times New Roman"/>
        </w:rPr>
        <w:t>group within GPA</w:t>
      </w:r>
      <w:r w:rsidR="00BE2FD0" w:rsidRPr="00F85B49">
        <w:rPr>
          <w:rFonts w:cs="Times New Roman"/>
        </w:rPr>
        <w:t xml:space="preserve"> to further this agenda</w:t>
      </w:r>
      <w:r w:rsidR="002D28EE" w:rsidRPr="00F85B49">
        <w:rPr>
          <w:rFonts w:cs="Times New Roman"/>
        </w:rPr>
        <w:t>.</w:t>
      </w:r>
    </w:p>
    <w:p w14:paraId="7DF2D1EC" w14:textId="48359933" w:rsidR="001B7736" w:rsidRPr="00F85B49" w:rsidRDefault="002D19EC" w:rsidP="00767E59">
      <w:pPr>
        <w:pStyle w:val="NormalWeb"/>
        <w:spacing w:before="0" w:beforeAutospacing="0" w:after="0" w:afterAutospacing="0"/>
        <w:rPr>
          <w:rFonts w:ascii="Times New Roman" w:hAnsi="Times New Roman" w:cs="Times New Roman"/>
          <w:color w:val="000000"/>
        </w:rPr>
      </w:pPr>
      <w:hyperlink r:id="rId9" w:history="1">
        <w:r w:rsidRPr="00F85B49">
          <w:rPr>
            <w:rStyle w:val="Hyperlink"/>
            <w:rFonts w:ascii="Times New Roman" w:hAnsi="Times New Roman" w:cs="Times New Roman"/>
          </w:rPr>
          <w:t xml:space="preserve">GPA </w:t>
        </w:r>
        <w:r w:rsidR="005E1D26" w:rsidRPr="00F85B49">
          <w:rPr>
            <w:rStyle w:val="Hyperlink"/>
            <w:rFonts w:ascii="Times New Roman" w:hAnsi="Times New Roman" w:cs="Times New Roman"/>
          </w:rPr>
          <w:t>Evidence</w:t>
        </w:r>
        <w:r w:rsidRPr="00F85B49">
          <w:rPr>
            <w:rStyle w:val="Hyperlink"/>
            <w:rFonts w:ascii="Times New Roman" w:hAnsi="Times New Roman" w:cs="Times New Roman"/>
          </w:rPr>
          <w:t xml:space="preserve"> Updates</w:t>
        </w:r>
      </w:hyperlink>
      <w:r w:rsidRPr="00F85B49">
        <w:rPr>
          <w:rFonts w:ascii="Times New Roman" w:hAnsi="Times New Roman" w:cs="Times New Roman"/>
          <w:color w:val="000000"/>
        </w:rPr>
        <w:t xml:space="preserve"> </w:t>
      </w:r>
      <w:r w:rsidR="0068253F" w:rsidRPr="00F85B49">
        <w:rPr>
          <w:rFonts w:ascii="Times New Roman" w:hAnsi="Times New Roman" w:cs="Times New Roman"/>
          <w:color w:val="000000"/>
        </w:rPr>
        <w:t xml:space="preserve">is </w:t>
      </w:r>
      <w:r w:rsidR="0012287B" w:rsidRPr="00F85B49">
        <w:rPr>
          <w:rFonts w:ascii="Times New Roman" w:hAnsi="Times New Roman" w:cs="Times New Roman"/>
          <w:color w:val="000000"/>
        </w:rPr>
        <w:t xml:space="preserve">brought to you </w:t>
      </w:r>
      <w:r w:rsidR="00035844" w:rsidRPr="00F85B49">
        <w:rPr>
          <w:rFonts w:ascii="Times New Roman" w:hAnsi="Times New Roman" w:cs="Times New Roman"/>
          <w:color w:val="000000"/>
        </w:rPr>
        <w:t xml:space="preserve">by </w:t>
      </w:r>
      <w:r w:rsidR="00897078" w:rsidRPr="00F85B49">
        <w:rPr>
          <w:rFonts w:ascii="Times New Roman" w:hAnsi="Times New Roman" w:cs="Times New Roman"/>
          <w:color w:val="000000"/>
        </w:rPr>
        <w:t xml:space="preserve">the </w:t>
      </w:r>
      <w:bookmarkStart w:id="4" w:name="_Hlk99935438"/>
      <w:r w:rsidR="00897078" w:rsidRPr="00F85B49">
        <w:rPr>
          <w:rFonts w:ascii="Times New Roman" w:hAnsi="Times New Roman" w:cs="Times New Roman"/>
          <w:color w:val="002060"/>
        </w:rPr>
        <w:t xml:space="preserve">Evidence-based Practice Research </w:t>
      </w:r>
      <w:r w:rsidR="00C838D2" w:rsidRPr="00F85B49">
        <w:rPr>
          <w:rFonts w:ascii="Times New Roman" w:hAnsi="Times New Roman" w:cs="Times New Roman"/>
          <w:color w:val="002060"/>
        </w:rPr>
        <w:t>Group</w:t>
      </w:r>
      <w:bookmarkEnd w:id="4"/>
      <w:r w:rsidR="00897078" w:rsidRPr="00F85B49">
        <w:rPr>
          <w:rFonts w:ascii="Times New Roman" w:hAnsi="Times New Roman" w:cs="Times New Roman"/>
          <w:color w:val="000000"/>
        </w:rPr>
        <w:t xml:space="preserve">, a research group within </w:t>
      </w:r>
      <w:r w:rsidR="00666B00" w:rsidRPr="00F85B49">
        <w:rPr>
          <w:rFonts w:ascii="Times New Roman" w:hAnsi="Times New Roman" w:cs="Times New Roman"/>
          <w:color w:val="000000"/>
        </w:rPr>
        <w:t>Ghana</w:t>
      </w:r>
      <w:r w:rsidR="00075247" w:rsidRPr="00F85B49">
        <w:rPr>
          <w:rFonts w:ascii="Times New Roman" w:hAnsi="Times New Roman" w:cs="Times New Roman"/>
          <w:color w:val="000000"/>
        </w:rPr>
        <w:t xml:space="preserve"> Physiotherapy Association (GPA)</w:t>
      </w:r>
      <w:r w:rsidR="001E4672" w:rsidRPr="00F85B49">
        <w:rPr>
          <w:rFonts w:ascii="Times New Roman" w:hAnsi="Times New Roman" w:cs="Times New Roman"/>
          <w:color w:val="000000"/>
        </w:rPr>
        <w:t xml:space="preserve"> </w:t>
      </w:r>
      <w:r w:rsidR="00AB42A0" w:rsidRPr="00F85B49">
        <w:rPr>
          <w:rFonts w:ascii="Times New Roman" w:hAnsi="Times New Roman" w:cs="Times New Roman"/>
          <w:color w:val="000000"/>
        </w:rPr>
        <w:t xml:space="preserve">to </w:t>
      </w:r>
      <w:r w:rsidR="002334B1" w:rsidRPr="00F85B49">
        <w:rPr>
          <w:rFonts w:ascii="Times New Roman" w:hAnsi="Times New Roman" w:cs="Times New Roman"/>
          <w:color w:val="000000"/>
        </w:rPr>
        <w:t xml:space="preserve">promote </w:t>
      </w:r>
      <w:r w:rsidR="00AB42A0" w:rsidRPr="00F85B49">
        <w:rPr>
          <w:rFonts w:ascii="Times New Roman" w:hAnsi="Times New Roman" w:cs="Times New Roman"/>
          <w:color w:val="000000"/>
        </w:rPr>
        <w:t>evidence-based practice</w:t>
      </w:r>
      <w:r w:rsidR="00666B00" w:rsidRPr="00F85B49">
        <w:rPr>
          <w:rFonts w:ascii="Times New Roman" w:hAnsi="Times New Roman" w:cs="Times New Roman"/>
          <w:color w:val="000000"/>
        </w:rPr>
        <w:t xml:space="preserve"> culture amongst </w:t>
      </w:r>
      <w:r w:rsidR="007E3135" w:rsidRPr="00F85B49">
        <w:rPr>
          <w:rFonts w:ascii="Times New Roman" w:hAnsi="Times New Roman" w:cs="Times New Roman"/>
          <w:color w:val="000000"/>
        </w:rPr>
        <w:t xml:space="preserve">physiotherapists and other </w:t>
      </w:r>
      <w:r w:rsidR="00666B00" w:rsidRPr="00F85B49">
        <w:rPr>
          <w:rFonts w:ascii="Times New Roman" w:hAnsi="Times New Roman" w:cs="Times New Roman"/>
          <w:color w:val="000000"/>
        </w:rPr>
        <w:t>colleagues</w:t>
      </w:r>
      <w:r w:rsidR="007E3135" w:rsidRPr="00F85B49">
        <w:rPr>
          <w:rFonts w:ascii="Times New Roman" w:hAnsi="Times New Roman" w:cs="Times New Roman"/>
          <w:color w:val="000000"/>
        </w:rPr>
        <w:t xml:space="preserve"> within the rehabilitation community</w:t>
      </w:r>
      <w:r w:rsidR="00666B00" w:rsidRPr="00F85B49">
        <w:rPr>
          <w:rFonts w:ascii="Times New Roman" w:hAnsi="Times New Roman" w:cs="Times New Roman"/>
          <w:color w:val="000000"/>
        </w:rPr>
        <w:t>.</w:t>
      </w:r>
    </w:p>
    <w:p w14:paraId="606A80B2" w14:textId="4618EC5A" w:rsidR="006A605F" w:rsidRPr="00F85B49" w:rsidRDefault="004468ED" w:rsidP="00BB227D">
      <w:pPr>
        <w:pStyle w:val="NormalWeb"/>
        <w:spacing w:before="60" w:beforeAutospacing="0" w:after="60" w:afterAutospacing="0"/>
        <w:rPr>
          <w:rFonts w:ascii="Times New Roman" w:hAnsi="Times New Roman" w:cs="Times New Roman"/>
          <w:color w:val="4472C4" w:themeColor="accent1"/>
        </w:rPr>
      </w:pPr>
      <w:r w:rsidRPr="00F85B49">
        <w:rPr>
          <w:rFonts w:ascii="Times New Roman" w:hAnsi="Times New Roman" w:cs="Times New Roman"/>
          <w:color w:val="000000"/>
        </w:rPr>
        <w:t>These updates</w:t>
      </w:r>
      <w:r w:rsidR="004D67D9" w:rsidRPr="00F85B49">
        <w:rPr>
          <w:rFonts w:ascii="Times New Roman" w:hAnsi="Times New Roman" w:cs="Times New Roman"/>
          <w:color w:val="000000"/>
        </w:rPr>
        <w:t xml:space="preserve"> </w:t>
      </w:r>
      <w:r w:rsidRPr="00F85B49">
        <w:rPr>
          <w:rFonts w:ascii="Times New Roman" w:hAnsi="Times New Roman" w:cs="Times New Roman"/>
          <w:color w:val="000000"/>
        </w:rPr>
        <w:t>present</w:t>
      </w:r>
      <w:r w:rsidR="00720A0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new systematic reviews and </w:t>
      </w:r>
      <w:r w:rsidR="001B7736" w:rsidRPr="00F85B49">
        <w:rPr>
          <w:rFonts w:ascii="Times New Roman" w:hAnsi="Times New Roman" w:cs="Times New Roman"/>
          <w:color w:val="000000"/>
        </w:rPr>
        <w:t xml:space="preserve">clinical practice </w:t>
      </w:r>
      <w:r w:rsidR="006A605F" w:rsidRPr="00F85B49">
        <w:rPr>
          <w:rFonts w:ascii="Times New Roman" w:hAnsi="Times New Roman" w:cs="Times New Roman"/>
          <w:color w:val="000000"/>
        </w:rPr>
        <w:t xml:space="preserve">guidelines </w:t>
      </w:r>
      <w:r w:rsidR="001B7736" w:rsidRPr="00F85B49">
        <w:rPr>
          <w:rFonts w:ascii="Times New Roman" w:hAnsi="Times New Roman" w:cs="Times New Roman"/>
          <w:color w:val="000000"/>
        </w:rPr>
        <w:t xml:space="preserve">identified </w:t>
      </w:r>
      <w:r w:rsidR="00720A05" w:rsidRPr="00F85B49">
        <w:rPr>
          <w:rFonts w:ascii="Times New Roman" w:hAnsi="Times New Roman" w:cs="Times New Roman"/>
          <w:color w:val="000000"/>
        </w:rPr>
        <w:t xml:space="preserve">and compiled </w:t>
      </w:r>
      <w:r w:rsidR="001B7736" w:rsidRPr="00F85B49">
        <w:rPr>
          <w:rFonts w:ascii="Times New Roman" w:hAnsi="Times New Roman" w:cs="Times New Roman"/>
          <w:color w:val="000000"/>
        </w:rPr>
        <w:t xml:space="preserve">from </w:t>
      </w:r>
      <w:r w:rsidR="006A605F" w:rsidRPr="00F85B49">
        <w:rPr>
          <w:rFonts w:ascii="Times New Roman" w:hAnsi="Times New Roman" w:cs="Times New Roman"/>
          <w:color w:val="000000"/>
        </w:rPr>
        <w:t>comprehensive</w:t>
      </w:r>
      <w:r w:rsidR="0068253F" w:rsidRPr="00F85B49">
        <w:rPr>
          <w:rFonts w:ascii="Times New Roman" w:hAnsi="Times New Roman" w:cs="Times New Roman"/>
          <w:color w:val="000000"/>
        </w:rPr>
        <w:t xml:space="preserve"> </w:t>
      </w:r>
      <w:r w:rsidR="006A605F" w:rsidRPr="00F85B49">
        <w:rPr>
          <w:rFonts w:ascii="Times New Roman" w:hAnsi="Times New Roman" w:cs="Times New Roman"/>
          <w:color w:val="000000"/>
        </w:rPr>
        <w:t>searches of</w:t>
      </w:r>
      <w:r w:rsidR="00D545F0" w:rsidRPr="00F85B49">
        <w:rPr>
          <w:rFonts w:ascii="Times New Roman" w:hAnsi="Times New Roman" w:cs="Times New Roman"/>
          <w:color w:val="000000"/>
        </w:rPr>
        <w:t xml:space="preserve"> </w:t>
      </w:r>
      <w:r w:rsidR="00720A05" w:rsidRPr="00F85B49">
        <w:rPr>
          <w:rFonts w:ascii="Times New Roman" w:hAnsi="Times New Roman" w:cs="Times New Roman"/>
          <w:color w:val="000000"/>
        </w:rPr>
        <w:t xml:space="preserve">the </w:t>
      </w:r>
      <w:hyperlink r:id="rId10" w:history="1">
        <w:r w:rsidR="00D545F0" w:rsidRPr="00F85B49">
          <w:rPr>
            <w:rStyle w:val="Hyperlink"/>
            <w:rFonts w:ascii="Times New Roman" w:hAnsi="Times New Roman" w:cs="Times New Roman"/>
          </w:rPr>
          <w:t>PubMed</w:t>
        </w:r>
      </w:hyperlink>
      <w:r w:rsidR="004D67D9" w:rsidRPr="00F85B49">
        <w:rPr>
          <w:rFonts w:ascii="Times New Roman" w:hAnsi="Times New Roman" w:cs="Times New Roman"/>
          <w:color w:val="000000"/>
        </w:rPr>
        <w:t xml:space="preserve"> database</w:t>
      </w:r>
      <w:r w:rsidR="006B3F63" w:rsidRPr="00F85B49">
        <w:rPr>
          <w:rFonts w:ascii="Times New Roman" w:hAnsi="Times New Roman" w:cs="Times New Roman"/>
          <w:color w:val="000000"/>
        </w:rPr>
        <w:t>.</w:t>
      </w:r>
      <w:r w:rsidR="006A605F" w:rsidRPr="00F85B49">
        <w:rPr>
          <w:rFonts w:ascii="Times New Roman" w:hAnsi="Times New Roman" w:cs="Times New Roman"/>
          <w:color w:val="000000"/>
        </w:rPr>
        <w:t xml:space="preserve"> An archive of </w:t>
      </w:r>
      <w:r w:rsidR="00410EB3" w:rsidRPr="00F85B49">
        <w:rPr>
          <w:rFonts w:ascii="Times New Roman" w:hAnsi="Times New Roman" w:cs="Times New Roman"/>
          <w:color w:val="000000"/>
        </w:rPr>
        <w:t>the</w:t>
      </w:r>
      <w:r w:rsidR="00AB42A0" w:rsidRPr="00F85B49">
        <w:rPr>
          <w:rFonts w:ascii="Times New Roman" w:hAnsi="Times New Roman" w:cs="Times New Roman"/>
          <w:color w:val="000000"/>
        </w:rPr>
        <w:t xml:space="preserve"> monthly u</w:t>
      </w:r>
      <w:r w:rsidR="006A605F" w:rsidRPr="00F85B49">
        <w:rPr>
          <w:rFonts w:ascii="Times New Roman" w:hAnsi="Times New Roman" w:cs="Times New Roman"/>
          <w:color w:val="000000"/>
        </w:rPr>
        <w:t xml:space="preserve">pdates is </w:t>
      </w:r>
      <w:r w:rsidR="00410EB3" w:rsidRPr="00F85B49">
        <w:rPr>
          <w:rFonts w:ascii="Times New Roman" w:hAnsi="Times New Roman" w:cs="Times New Roman"/>
          <w:color w:val="000000"/>
        </w:rPr>
        <w:t>available</w:t>
      </w:r>
      <w:r w:rsidR="006A605F" w:rsidRPr="00F85B49">
        <w:rPr>
          <w:rFonts w:ascii="Times New Roman" w:hAnsi="Times New Roman" w:cs="Times New Roman"/>
          <w:color w:val="000000"/>
        </w:rPr>
        <w:t xml:space="preserve"> </w:t>
      </w:r>
      <w:hyperlink r:id="rId11" w:history="1">
        <w:r w:rsidR="00410EB3" w:rsidRPr="00F85B49">
          <w:rPr>
            <w:rStyle w:val="Hyperlink"/>
            <w:rFonts w:ascii="Times New Roman" w:hAnsi="Times New Roman" w:cs="Times New Roman"/>
          </w:rPr>
          <w:t>here</w:t>
        </w:r>
      </w:hyperlink>
      <w:r w:rsidR="006A6B26" w:rsidRPr="00F85B49">
        <w:rPr>
          <w:rFonts w:ascii="Times New Roman" w:hAnsi="Times New Roman" w:cs="Times New Roman"/>
          <w:color w:val="000000"/>
        </w:rPr>
        <w:t>.</w:t>
      </w:r>
    </w:p>
    <w:p w14:paraId="357A2525" w14:textId="62ADB2FC" w:rsidR="00E01BCD" w:rsidRPr="00F85B49" w:rsidRDefault="009B67A4" w:rsidP="00BB227D">
      <w:pPr>
        <w:pStyle w:val="NormalWeb"/>
        <w:spacing w:before="60" w:beforeAutospacing="0" w:after="0" w:afterAutospacing="0"/>
        <w:rPr>
          <w:rFonts w:ascii="Times New Roman" w:hAnsi="Times New Roman" w:cs="Times New Roman"/>
          <w:color w:val="000000"/>
        </w:rPr>
      </w:pPr>
      <w:r w:rsidRPr="00F85B49">
        <w:rPr>
          <w:rFonts w:ascii="Times New Roman" w:hAnsi="Times New Roman" w:cs="Times New Roman"/>
        </w:rPr>
        <w:t>In th</w:t>
      </w:r>
      <w:r w:rsidR="003C29A0" w:rsidRPr="00F85B49">
        <w:rPr>
          <w:rFonts w:ascii="Times New Roman" w:hAnsi="Times New Roman" w:cs="Times New Roman"/>
        </w:rPr>
        <w:t xml:space="preserve">is </w:t>
      </w:r>
      <w:r w:rsidRPr="00F85B49">
        <w:rPr>
          <w:rFonts w:ascii="Times New Roman" w:hAnsi="Times New Roman" w:cs="Times New Roman"/>
        </w:rPr>
        <w:t>update, each article t</w:t>
      </w:r>
      <w:r w:rsidR="00B846D7" w:rsidRPr="00F85B49">
        <w:rPr>
          <w:rFonts w:ascii="Times New Roman" w:hAnsi="Times New Roman" w:cs="Times New Roman"/>
          <w:color w:val="000000"/>
        </w:rPr>
        <w:t xml:space="preserve">itle </w:t>
      </w:r>
      <w:r w:rsidR="006A605F" w:rsidRPr="00F85B49">
        <w:rPr>
          <w:rFonts w:ascii="Times New Roman" w:hAnsi="Times New Roman" w:cs="Times New Roman"/>
          <w:color w:val="000000"/>
        </w:rPr>
        <w:t>provides</w:t>
      </w:r>
      <w:r w:rsidR="00B846D7" w:rsidRPr="00F85B49">
        <w:rPr>
          <w:rFonts w:ascii="Times New Roman" w:hAnsi="Times New Roman" w:cs="Times New Roman"/>
          <w:color w:val="000000"/>
        </w:rPr>
        <w:t xml:space="preserve"> a link to the abstract in </w:t>
      </w:r>
      <w:r w:rsidR="00E01BCD" w:rsidRPr="00F85B49">
        <w:rPr>
          <w:rFonts w:ascii="Times New Roman" w:hAnsi="Times New Roman" w:cs="Times New Roman"/>
          <w:color w:val="000000"/>
        </w:rPr>
        <w:t>PubMed</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For </w:t>
      </w:r>
      <w:r w:rsidR="00B846D7" w:rsidRPr="00F85B49">
        <w:rPr>
          <w:rFonts w:ascii="Times New Roman" w:hAnsi="Times New Roman" w:cs="Times New Roman"/>
          <w:color w:val="000000"/>
        </w:rPr>
        <w:t>open-</w:t>
      </w:r>
      <w:r w:rsidR="00E01BCD" w:rsidRPr="00F85B49">
        <w:rPr>
          <w:rFonts w:ascii="Times New Roman" w:hAnsi="Times New Roman" w:cs="Times New Roman"/>
          <w:color w:val="000000"/>
        </w:rPr>
        <w:t>access</w:t>
      </w:r>
      <w:r w:rsidRPr="00F85B49">
        <w:rPr>
          <w:rFonts w:ascii="Times New Roman" w:hAnsi="Times New Roman" w:cs="Times New Roman"/>
          <w:color w:val="000000"/>
        </w:rPr>
        <w:t xml:space="preserve"> articles</w:t>
      </w:r>
      <w:r w:rsidR="00B846D7" w:rsidRPr="00F85B49">
        <w:rPr>
          <w:rFonts w:ascii="Times New Roman" w:hAnsi="Times New Roman" w:cs="Times New Roman"/>
          <w:color w:val="000000"/>
        </w:rPr>
        <w:t xml:space="preserve">, </w:t>
      </w:r>
      <w:r w:rsidR="009C4BD3">
        <w:rPr>
          <w:rFonts w:ascii="Times New Roman" w:hAnsi="Times New Roman" w:cs="Times New Roman"/>
          <w:color w:val="000000"/>
        </w:rPr>
        <w:t>full-text</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articles </w:t>
      </w:r>
      <w:r w:rsidR="000F0975" w:rsidRPr="00F85B49">
        <w:rPr>
          <w:rFonts w:ascii="Times New Roman" w:hAnsi="Times New Roman" w:cs="Times New Roman"/>
          <w:color w:val="000000"/>
        </w:rPr>
        <w:t>are</w:t>
      </w:r>
      <w:r w:rsidRPr="00F85B49">
        <w:rPr>
          <w:rFonts w:ascii="Times New Roman" w:hAnsi="Times New Roman" w:cs="Times New Roman"/>
          <w:color w:val="000000"/>
        </w:rPr>
        <w:t xml:space="preserve"> accessible</w:t>
      </w:r>
      <w:r w:rsidR="00B846D7" w:rsidRPr="00F85B49">
        <w:rPr>
          <w:rFonts w:ascii="Times New Roman" w:hAnsi="Times New Roman" w:cs="Times New Roman"/>
          <w:color w:val="000000"/>
        </w:rPr>
        <w:t xml:space="preserve"> by </w:t>
      </w:r>
      <w:r w:rsidR="00E01BCD" w:rsidRPr="00F85B49">
        <w:rPr>
          <w:rFonts w:ascii="Times New Roman" w:hAnsi="Times New Roman" w:cs="Times New Roman"/>
          <w:color w:val="000000"/>
        </w:rPr>
        <w:t xml:space="preserve">clicking the </w:t>
      </w:r>
      <w:r w:rsidR="009C4BD3">
        <w:rPr>
          <w:rFonts w:ascii="Times New Roman" w:hAnsi="Times New Roman" w:cs="Times New Roman"/>
          <w:color w:val="000000"/>
        </w:rPr>
        <w:t>f</w:t>
      </w:r>
      <w:r w:rsidRPr="00F85B49">
        <w:rPr>
          <w:rFonts w:ascii="Times New Roman" w:hAnsi="Times New Roman" w:cs="Times New Roman"/>
          <w:color w:val="000000"/>
        </w:rPr>
        <w:t xml:space="preserve">ree </w:t>
      </w:r>
      <w:r w:rsidR="009C4BD3">
        <w:rPr>
          <w:rFonts w:ascii="Times New Roman" w:hAnsi="Times New Roman" w:cs="Times New Roman"/>
          <w:color w:val="000000"/>
        </w:rPr>
        <w:t>full-text</w:t>
      </w:r>
      <w:r w:rsidR="00E01BCD" w:rsidRPr="00F85B49">
        <w:rPr>
          <w:rFonts w:ascii="Times New Roman" w:hAnsi="Times New Roman" w:cs="Times New Roman"/>
          <w:color w:val="000000"/>
        </w:rPr>
        <w:t xml:space="preserve"> link</w:t>
      </w:r>
      <w:r w:rsidRPr="00F85B49">
        <w:rPr>
          <w:rFonts w:ascii="Times New Roman" w:hAnsi="Times New Roman" w:cs="Times New Roman"/>
          <w:color w:val="000000"/>
        </w:rPr>
        <w:t xml:space="preserve"> (</w:t>
      </w:r>
      <w:r w:rsidR="009C4BD3">
        <w:rPr>
          <w:rFonts w:ascii="Times New Roman" w:hAnsi="Times New Roman" w:cs="Times New Roman"/>
          <w:color w:val="000000"/>
        </w:rPr>
        <w:t>indicated</w:t>
      </w:r>
      <w:r w:rsidRPr="00F85B49">
        <w:rPr>
          <w:rFonts w:ascii="Times New Roman" w:hAnsi="Times New Roman" w:cs="Times New Roman"/>
          <w:color w:val="000000"/>
        </w:rPr>
        <w:t xml:space="preserve"> in red text near </w:t>
      </w:r>
      <w:r w:rsidR="009C4BD3">
        <w:rPr>
          <w:rFonts w:ascii="Times New Roman" w:hAnsi="Times New Roman" w:cs="Times New Roman"/>
          <w:color w:val="000000"/>
        </w:rPr>
        <w:t xml:space="preserve">the </w:t>
      </w:r>
      <w:r w:rsidRPr="00F85B49">
        <w:rPr>
          <w:rFonts w:ascii="Times New Roman" w:hAnsi="Times New Roman" w:cs="Times New Roman"/>
          <w:color w:val="000000"/>
        </w:rPr>
        <w:t xml:space="preserve">article title). Where you are interested in a </w:t>
      </w:r>
      <w:r w:rsidR="009C4BD3">
        <w:rPr>
          <w:rFonts w:ascii="Times New Roman" w:hAnsi="Times New Roman" w:cs="Times New Roman"/>
          <w:color w:val="000000"/>
        </w:rPr>
        <w:t>full-text</w:t>
      </w:r>
      <w:r w:rsidRPr="00F85B49">
        <w:rPr>
          <w:rFonts w:ascii="Times New Roman" w:hAnsi="Times New Roman" w:cs="Times New Roman"/>
          <w:color w:val="000000"/>
        </w:rPr>
        <w:t xml:space="preserve"> article that i</w:t>
      </w:r>
      <w:r w:rsidR="000D0154" w:rsidRPr="00F85B49">
        <w:rPr>
          <w:rFonts w:ascii="Times New Roman" w:hAnsi="Times New Roman" w:cs="Times New Roman"/>
          <w:color w:val="000000"/>
        </w:rPr>
        <w:t>s not available</w:t>
      </w:r>
      <w:r w:rsidRPr="00F85B49">
        <w:rPr>
          <w:rFonts w:ascii="Times New Roman" w:hAnsi="Times New Roman" w:cs="Times New Roman"/>
          <w:color w:val="000000"/>
        </w:rPr>
        <w:t xml:space="preserve">, </w:t>
      </w:r>
      <w:r w:rsidR="000D0154" w:rsidRPr="00F85B49">
        <w:rPr>
          <w:rFonts w:ascii="Times New Roman" w:hAnsi="Times New Roman" w:cs="Times New Roman"/>
          <w:color w:val="000000"/>
        </w:rPr>
        <w:t xml:space="preserve">please contact the team and efforts will be made to access </w:t>
      </w:r>
      <w:r w:rsidR="00514230" w:rsidRPr="00F85B49">
        <w:rPr>
          <w:rFonts w:ascii="Times New Roman" w:hAnsi="Times New Roman" w:cs="Times New Roman"/>
          <w:color w:val="000000"/>
        </w:rPr>
        <w:t>it</w:t>
      </w:r>
      <w:r w:rsidR="000D0154" w:rsidRPr="00F85B49">
        <w:rPr>
          <w:rFonts w:ascii="Times New Roman" w:hAnsi="Times New Roman" w:cs="Times New Roman"/>
          <w:color w:val="000000"/>
        </w:rPr>
        <w:t xml:space="preserve"> for your use.</w:t>
      </w:r>
      <w:r w:rsidR="000F097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It is important to </w:t>
      </w:r>
      <w:r w:rsidR="00E01BCD" w:rsidRPr="00F85B49">
        <w:rPr>
          <w:rFonts w:ascii="Times New Roman" w:hAnsi="Times New Roman" w:cs="Times New Roman"/>
          <w:color w:val="000000"/>
        </w:rPr>
        <w:t xml:space="preserve">critically appraise the quality of the systematic reviews and clinical practice guidelines before applying </w:t>
      </w:r>
      <w:r w:rsidR="00340882" w:rsidRPr="00F85B49">
        <w:rPr>
          <w:rFonts w:ascii="Times New Roman" w:hAnsi="Times New Roman" w:cs="Times New Roman"/>
          <w:color w:val="000000"/>
        </w:rPr>
        <w:t>them</w:t>
      </w:r>
      <w:r w:rsidR="00E01BCD" w:rsidRPr="00F85B49">
        <w:rPr>
          <w:rFonts w:ascii="Times New Roman" w:hAnsi="Times New Roman" w:cs="Times New Roman"/>
          <w:color w:val="000000"/>
        </w:rPr>
        <w:t xml:space="preserve"> to your practice</w:t>
      </w:r>
      <w:r w:rsidR="00C068C8" w:rsidRPr="00F85B49">
        <w:rPr>
          <w:rFonts w:ascii="Times New Roman" w:hAnsi="Times New Roman" w:cs="Times New Roman"/>
          <w:color w:val="000000"/>
        </w:rPr>
        <w:t xml:space="preserve">, we therefore recommend the </w:t>
      </w:r>
      <w:hyperlink r:id="rId12" w:history="1">
        <w:r w:rsidR="00C068C8" w:rsidRPr="00F85B49">
          <w:rPr>
            <w:rStyle w:val="Hyperlink"/>
            <w:rFonts w:ascii="Times New Roman" w:hAnsi="Times New Roman" w:cs="Times New Roman"/>
          </w:rPr>
          <w:t>SIGN checklist</w:t>
        </w:r>
      </w:hyperlink>
      <w:r w:rsidR="00C068C8" w:rsidRPr="00F85B49">
        <w:rPr>
          <w:rFonts w:ascii="Times New Roman" w:hAnsi="Times New Roman" w:cs="Times New Roman"/>
          <w:color w:val="000000"/>
        </w:rPr>
        <w:t xml:space="preserve"> for systematic </w:t>
      </w:r>
      <w:r w:rsidR="00E01BCD" w:rsidRPr="00F85B49">
        <w:rPr>
          <w:rFonts w:ascii="Times New Roman" w:hAnsi="Times New Roman" w:cs="Times New Roman"/>
          <w:color w:val="000000"/>
        </w:rPr>
        <w:t>reviews</w:t>
      </w:r>
      <w:r w:rsidR="00C068C8" w:rsidRPr="00F85B49">
        <w:rPr>
          <w:rFonts w:ascii="Times New Roman" w:hAnsi="Times New Roman" w:cs="Times New Roman"/>
          <w:color w:val="000000"/>
        </w:rPr>
        <w:t xml:space="preserve"> </w:t>
      </w:r>
      <w:r w:rsidR="000F0975" w:rsidRPr="00F85B49">
        <w:rPr>
          <w:rFonts w:ascii="Times New Roman" w:hAnsi="Times New Roman" w:cs="Times New Roman"/>
          <w:color w:val="000000"/>
        </w:rPr>
        <w:t xml:space="preserve">and the </w:t>
      </w:r>
      <w:hyperlink r:id="rId13" w:history="1">
        <w:r w:rsidR="00E01BCD" w:rsidRPr="00F85B49">
          <w:rPr>
            <w:rStyle w:val="Hyperlink"/>
            <w:rFonts w:ascii="Times New Roman" w:hAnsi="Times New Roman" w:cs="Times New Roman"/>
          </w:rPr>
          <w:t>A</w:t>
        </w:r>
        <w:r w:rsidR="009475C0" w:rsidRPr="00F85B49">
          <w:rPr>
            <w:rStyle w:val="Hyperlink"/>
            <w:rFonts w:ascii="Times New Roman" w:hAnsi="Times New Roman" w:cs="Times New Roman"/>
          </w:rPr>
          <w:t>GREE tool</w:t>
        </w:r>
      </w:hyperlink>
      <w:r w:rsidR="000F0975" w:rsidRPr="00F85B49">
        <w:rPr>
          <w:rStyle w:val="Hyperlink"/>
          <w:rFonts w:ascii="Times New Roman" w:hAnsi="Times New Roman" w:cs="Times New Roman"/>
          <w:u w:val="none"/>
        </w:rPr>
        <w:t xml:space="preserve"> </w:t>
      </w:r>
      <w:r w:rsidR="000F0975" w:rsidRPr="00F85B49">
        <w:rPr>
          <w:rStyle w:val="Hyperlink"/>
          <w:rFonts w:ascii="Times New Roman" w:hAnsi="Times New Roman" w:cs="Times New Roman"/>
          <w:color w:val="auto"/>
          <w:u w:val="none"/>
        </w:rPr>
        <w:t xml:space="preserve">for </w:t>
      </w:r>
      <w:r w:rsidR="000F0975" w:rsidRPr="00F85B49">
        <w:rPr>
          <w:rFonts w:ascii="Times New Roman" w:hAnsi="Times New Roman" w:cs="Times New Roman"/>
          <w:color w:val="000000"/>
        </w:rPr>
        <w:t>clinical practice guidelines.</w:t>
      </w:r>
    </w:p>
    <w:p w14:paraId="761BF00C" w14:textId="28D502DB" w:rsidR="00C068C8" w:rsidRPr="00F85B49" w:rsidRDefault="00C068C8" w:rsidP="00767E59">
      <w:pPr>
        <w:pStyle w:val="NormalWeb"/>
        <w:spacing w:before="0" w:beforeAutospacing="0" w:after="0" w:afterAutospacing="0"/>
        <w:rPr>
          <w:rFonts w:ascii="Times New Roman" w:hAnsi="Times New Roman" w:cs="Times New Roman"/>
          <w:color w:val="000000"/>
        </w:rPr>
      </w:pPr>
    </w:p>
    <w:p w14:paraId="049CA5F5" w14:textId="75D5D755" w:rsidR="006A605F" w:rsidRPr="00F85B49" w:rsidRDefault="00BE6608" w:rsidP="0054257C">
      <w:pPr>
        <w:pStyle w:val="Heading1"/>
        <w:spacing w:before="200"/>
        <w:rPr>
          <w:b w:val="0"/>
        </w:rPr>
      </w:pPr>
      <w:bookmarkStart w:id="5" w:name="_Contents"/>
      <w:bookmarkStart w:id="6" w:name="content"/>
      <w:bookmarkStart w:id="7" w:name="_Ref97705334"/>
      <w:bookmarkEnd w:id="5"/>
      <w:bookmarkEnd w:id="6"/>
      <w:r w:rsidRPr="00F85B49">
        <w:rPr>
          <w:b w:val="0"/>
        </w:rPr>
        <w:t>Contents</w:t>
      </w:r>
      <w:bookmarkEnd w:id="7"/>
      <w:r w:rsidRPr="00F85B49">
        <w:rPr>
          <w:b w:val="0"/>
        </w:rPr>
        <w:t xml:space="preserve"> </w:t>
      </w:r>
    </w:p>
    <w:bookmarkStart w:id="8" w:name="_Hlk97704505"/>
    <w:p w14:paraId="79E764BB" w14:textId="1C93B484" w:rsidR="008F6603" w:rsidRDefault="008F6603" w:rsidP="003D2C2D">
      <w:r w:rsidRPr="00F85B49">
        <w:fldChar w:fldCharType="begin"/>
      </w:r>
      <w:r w:rsidRPr="00F85B49">
        <w:instrText xml:space="preserve"> HYPERLINK  \l "guidelines" </w:instrText>
      </w:r>
      <w:r w:rsidRPr="00F85B49">
        <w:fldChar w:fldCharType="separate"/>
      </w:r>
      <w:r w:rsidRPr="00F85B49">
        <w:rPr>
          <w:rStyle w:val="Hyperlink"/>
        </w:rPr>
        <w:t>Guidelines</w:t>
      </w:r>
      <w:r w:rsidRPr="00F85B49">
        <w:fldChar w:fldCharType="end"/>
      </w:r>
    </w:p>
    <w:p w14:paraId="488DE4C0" w14:textId="770C8CFD" w:rsidR="008F6603" w:rsidRPr="00F85B49" w:rsidRDefault="008F6603" w:rsidP="008F6603">
      <w:pPr>
        <w:rPr>
          <w:rStyle w:val="Hyperlink"/>
        </w:rPr>
      </w:pPr>
      <w:hyperlink w:anchor="Systematic_Reviews" w:history="1">
        <w:r w:rsidRPr="00F85B49">
          <w:rPr>
            <w:rStyle w:val="Hyperlink"/>
          </w:rPr>
          <w:t>Systematic Reviews</w:t>
        </w:r>
      </w:hyperlink>
    </w:p>
    <w:bookmarkStart w:id="9" w:name="_Hlk103944109"/>
    <w:p w14:paraId="068D63A2" w14:textId="0021A7E1" w:rsidR="008F6603" w:rsidRPr="00F85B49" w:rsidRDefault="0015728B" w:rsidP="00546D8E">
      <w:pPr>
        <w:pStyle w:val="ListParagraph"/>
        <w:numPr>
          <w:ilvl w:val="0"/>
          <w:numId w:val="1"/>
        </w:numPr>
      </w:pPr>
      <w:r w:rsidRPr="00F85B49">
        <w:fldChar w:fldCharType="begin"/>
      </w:r>
      <w:r w:rsidRPr="00F85B49">
        <w:instrText xml:space="preserve"> HYPERLINK \l "CP_Systemtic_Review" </w:instrText>
      </w:r>
      <w:r w:rsidRPr="00F85B49">
        <w:fldChar w:fldCharType="separate"/>
      </w:r>
      <w:r w:rsidR="008F6603" w:rsidRPr="00F85B49">
        <w:rPr>
          <w:rStyle w:val="Hyperlink"/>
        </w:rPr>
        <w:t>Cerebral palsy</w:t>
      </w:r>
      <w:r w:rsidRPr="00F85B49">
        <w:rPr>
          <w:rStyle w:val="Hyperlink"/>
        </w:rPr>
        <w:fldChar w:fldCharType="end"/>
      </w:r>
    </w:p>
    <w:bookmarkEnd w:id="9"/>
    <w:p w14:paraId="28168E21" w14:textId="1ADFC6FB" w:rsidR="003B6D19" w:rsidRDefault="003B6D19" w:rsidP="00546D8E">
      <w:pPr>
        <w:pStyle w:val="ListParagraph"/>
        <w:numPr>
          <w:ilvl w:val="0"/>
          <w:numId w:val="1"/>
        </w:numPr>
      </w:pPr>
      <w:r>
        <w:fldChar w:fldCharType="begin"/>
      </w:r>
      <w:r>
        <w:instrText xml:space="preserve"> HYPERLINK  \l "_Low_back_pain" </w:instrText>
      </w:r>
      <w:r>
        <w:fldChar w:fldCharType="separate"/>
      </w:r>
      <w:r w:rsidRPr="003B6D19">
        <w:rPr>
          <w:rStyle w:val="Hyperlink"/>
        </w:rPr>
        <w:t>Low back pain</w:t>
      </w:r>
      <w:r>
        <w:fldChar w:fldCharType="end"/>
      </w:r>
    </w:p>
    <w:p w14:paraId="594DAEB8" w14:textId="22A1FE41" w:rsidR="008F6603" w:rsidRPr="00F85B49" w:rsidRDefault="008F6603" w:rsidP="00546D8E">
      <w:pPr>
        <w:pStyle w:val="ListParagraph"/>
        <w:numPr>
          <w:ilvl w:val="0"/>
          <w:numId w:val="1"/>
        </w:numPr>
      </w:pPr>
      <w:hyperlink w:anchor="stroke_Systemtic_Review" w:history="1">
        <w:r w:rsidRPr="00F85B49">
          <w:rPr>
            <w:rStyle w:val="Hyperlink"/>
          </w:rPr>
          <w:t>Stroke</w:t>
        </w:r>
      </w:hyperlink>
    </w:p>
    <w:p w14:paraId="1434BA5D" w14:textId="77C8E02C" w:rsidR="008F6603" w:rsidRPr="00F85B49" w:rsidRDefault="008F6603" w:rsidP="00546D8E">
      <w:pPr>
        <w:pStyle w:val="ListParagraph"/>
        <w:numPr>
          <w:ilvl w:val="0"/>
          <w:numId w:val="1"/>
        </w:numPr>
      </w:pPr>
      <w:hyperlink w:anchor="PD_Systemtic_Review" w:history="1">
        <w:r w:rsidRPr="00F85B49">
          <w:rPr>
            <w:rStyle w:val="Hyperlink"/>
          </w:rPr>
          <w:t>Parkinson’s disease</w:t>
        </w:r>
      </w:hyperlink>
    </w:p>
    <w:p w14:paraId="717814CE" w14:textId="349472B1" w:rsidR="008F6603" w:rsidRPr="00F85B49" w:rsidRDefault="008F6603" w:rsidP="007A0FE1">
      <w:pPr>
        <w:spacing w:after="0"/>
      </w:pPr>
      <w:hyperlink w:anchor="Notes" w:history="1">
        <w:r w:rsidRPr="00F85B49">
          <w:rPr>
            <w:rStyle w:val="Hyperlink"/>
          </w:rPr>
          <w:t>Notes</w:t>
        </w:r>
      </w:hyperlink>
    </w:p>
    <w:p w14:paraId="4AD2D53F" w14:textId="1E14CE47" w:rsidR="009A664B" w:rsidRPr="00F85B49" w:rsidRDefault="00705F13" w:rsidP="008F6603">
      <w:hyperlink w:anchor="Acknowlegment" w:history="1">
        <w:r>
          <w:rPr>
            <w:rStyle w:val="Hyperlink"/>
          </w:rPr>
          <w:t>Acknowledgment</w:t>
        </w:r>
      </w:hyperlink>
    </w:p>
    <w:p w14:paraId="50E11179" w14:textId="77777777" w:rsidR="008A60A7" w:rsidRDefault="008A60A7" w:rsidP="00496C59">
      <w:pPr>
        <w:pStyle w:val="Heading2"/>
      </w:pPr>
      <w:bookmarkStart w:id="10" w:name="guidelines"/>
      <w:bookmarkStart w:id="11" w:name="_Guidelines"/>
      <w:bookmarkStart w:id="12" w:name="_Hlk127401422"/>
      <w:bookmarkStart w:id="13" w:name="_Hlk106687437"/>
      <w:bookmarkStart w:id="14" w:name="_Hlk97704284"/>
      <w:bookmarkEnd w:id="8"/>
      <w:bookmarkEnd w:id="10"/>
      <w:bookmarkEnd w:id="11"/>
      <w:r w:rsidRPr="00496C59">
        <w:t>Guidelines</w:t>
      </w:r>
    </w:p>
    <w:p w14:paraId="04C3F885" w14:textId="0CCCF4D4" w:rsidR="00D313D4" w:rsidRDefault="00D313D4" w:rsidP="00D313D4">
      <w:pPr>
        <w:pStyle w:val="Heading3"/>
      </w:pPr>
      <w:r>
        <w:t>Stroke</w:t>
      </w:r>
    </w:p>
    <w:p w14:paraId="52A01F03" w14:textId="08E4973C" w:rsidR="009A4AF6" w:rsidRPr="009A4AF6" w:rsidRDefault="009A4AF6" w:rsidP="009A4AF6">
      <w:pPr>
        <w:pStyle w:val="ListParagraph"/>
        <w:numPr>
          <w:ilvl w:val="0"/>
          <w:numId w:val="37"/>
        </w:numPr>
        <w:spacing w:after="0"/>
        <w:rPr>
          <w:lang w:val="en-GB"/>
        </w:rPr>
      </w:pPr>
      <w:hyperlink r:id="rId14" w:history="1">
        <w:r w:rsidRPr="009A4AF6">
          <w:rPr>
            <w:rStyle w:val="Hyperlink"/>
            <w:lang w:val="en-GB"/>
          </w:rPr>
          <w:t>Canadian Stroke Best Practice Recommendations Rehabilitation, Recovery, and Community Participation Following Stroke, Part Two: Delivery of Stroke Rehabilitation to Optimize Functional Recovery, 7th Edition Update 2025</w:t>
        </w:r>
      </w:hyperlink>
      <w:r w:rsidR="004B392D">
        <w:rPr>
          <w:lang w:val="en-GB"/>
        </w:rPr>
        <w:t xml:space="preserve">. </w:t>
      </w:r>
      <w:hyperlink r:id="rId15" w:history="1">
        <w:r w:rsidRPr="009A4AF6">
          <w:rPr>
            <w:rStyle w:val="Hyperlink"/>
            <w:color w:val="EE0000"/>
            <w:lang w:val="en-GB"/>
          </w:rPr>
          <w:t>Free Full-text Article</w:t>
        </w:r>
      </w:hyperlink>
    </w:p>
    <w:p w14:paraId="239D0475" w14:textId="77777777" w:rsidR="009A4AF6" w:rsidRPr="009A4AF6" w:rsidRDefault="009A4AF6" w:rsidP="009A4AF6">
      <w:pPr>
        <w:spacing w:after="0"/>
        <w:rPr>
          <w:lang w:val="en-GB"/>
        </w:rPr>
      </w:pPr>
      <w:proofErr w:type="spellStart"/>
      <w:r w:rsidRPr="009A4AF6">
        <w:rPr>
          <w:lang w:val="en-GB"/>
        </w:rPr>
        <w:t>Salbach</w:t>
      </w:r>
      <w:proofErr w:type="spellEnd"/>
      <w:r w:rsidRPr="009A4AF6">
        <w:rPr>
          <w:lang w:val="en-GB"/>
        </w:rPr>
        <w:t xml:space="preserve"> NM, Yao JK, Lindsay MP, et. al. </w:t>
      </w:r>
    </w:p>
    <w:p w14:paraId="59C0C4A9" w14:textId="77777777" w:rsidR="009A4AF6" w:rsidRPr="009A4AF6" w:rsidRDefault="009A4AF6" w:rsidP="009A4AF6">
      <w:pPr>
        <w:rPr>
          <w:lang w:val="en-GB"/>
        </w:rPr>
      </w:pPr>
      <w:r w:rsidRPr="009A4AF6">
        <w:rPr>
          <w:lang w:val="en-GB"/>
        </w:rPr>
        <w:t xml:space="preserve">Am J Phys Med </w:t>
      </w:r>
      <w:proofErr w:type="spellStart"/>
      <w:r w:rsidRPr="009A4AF6">
        <w:rPr>
          <w:lang w:val="en-GB"/>
        </w:rPr>
        <w:t>Rehabil</w:t>
      </w:r>
      <w:proofErr w:type="spellEnd"/>
      <w:r w:rsidRPr="009A4AF6">
        <w:rPr>
          <w:lang w:val="en-GB"/>
        </w:rPr>
        <w:t xml:space="preserve">. 2026 Feb 1;105(2):151-167. </w:t>
      </w:r>
      <w:proofErr w:type="spellStart"/>
      <w:r w:rsidRPr="009A4AF6">
        <w:rPr>
          <w:lang w:val="en-GB"/>
        </w:rPr>
        <w:t>doi</w:t>
      </w:r>
      <w:proofErr w:type="spellEnd"/>
      <w:r w:rsidRPr="009A4AF6">
        <w:rPr>
          <w:lang w:val="en-GB"/>
        </w:rPr>
        <w:t>: 10.1097/PHM.0000000000002821</w:t>
      </w:r>
    </w:p>
    <w:p w14:paraId="789E09CD" w14:textId="77777777" w:rsidR="004B392D" w:rsidRDefault="004B392D" w:rsidP="004B392D">
      <w:pPr>
        <w:spacing w:after="0"/>
        <w:rPr>
          <w:b/>
          <w:bCs/>
          <w:lang w:val="en-GB"/>
        </w:rPr>
      </w:pPr>
      <w:r>
        <w:rPr>
          <w:b/>
          <w:bCs/>
          <w:lang w:val="en-GB"/>
        </w:rPr>
        <w:t>Unstructured Abstract</w:t>
      </w:r>
    </w:p>
    <w:p w14:paraId="53455E29" w14:textId="0DB9B71E" w:rsidR="009A4AF6" w:rsidRPr="009A4AF6" w:rsidRDefault="009A4AF6" w:rsidP="009A4AF6">
      <w:pPr>
        <w:rPr>
          <w:b/>
          <w:bCs/>
          <w:lang w:val="en-GB"/>
        </w:rPr>
      </w:pPr>
      <w:r w:rsidRPr="009A4AF6">
        <w:rPr>
          <w:lang w:val="en-GB"/>
        </w:rPr>
        <w:lastRenderedPageBreak/>
        <w:t>The Canadian Stroke Best Practice Recomm</w:t>
      </w:r>
      <w:r w:rsidRPr="004B392D">
        <w:rPr>
          <w:lang w:val="en-GB"/>
        </w:rPr>
        <w:t>endations 7th edition</w:t>
      </w:r>
      <w:r w:rsidRPr="009A4AF6">
        <w:rPr>
          <w:lang w:val="en-GB"/>
        </w:rPr>
        <w:t xml:space="preserve"> update of the Rehabilitation, Recovery and Community Participation module is presented in three parts. This publication, Part Two of the series, reflects the growing and changing body of research evidence available to guide direct stroke rehabilitation therapies, screening, assessment, interventions, and strategies. Topics in this module include rehabilitation of upper and lower extremity, aerobic function, balance, mobility, activities of daily living, spasticity, fall risk, communication, dysphagia, nutrition, central pain, visual and visual-perceptual issues, and bladder and bowel function. This module provides guidance in the delivery of coordinated and seamless systems of care that support timely access to rehabilitation therapies, building on progress achieved during initial recovery, enabling people to achieve as much independence as possible and successfully resume social roles and leisure activities. Successful recovery, transitions and community participation require integrated and coordinated people-</w:t>
      </w:r>
      <w:proofErr w:type="spellStart"/>
      <w:r w:rsidRPr="009A4AF6">
        <w:rPr>
          <w:lang w:val="en-GB"/>
        </w:rPr>
        <w:t>centered</w:t>
      </w:r>
      <w:proofErr w:type="spellEnd"/>
      <w:r w:rsidRPr="009A4AF6">
        <w:rPr>
          <w:lang w:val="en-GB"/>
        </w:rPr>
        <w:t xml:space="preserve"> efforts by all members of care teams involved, and the broader community. These recommendations were developed with active involvement of people with lived experience of stroke throughout the care continuum. Evidence for effective rehabilitation therapies and support for individuals with stroke and their families continues to emerge and gaps in knowledge should drive future research.</w:t>
      </w:r>
    </w:p>
    <w:p w14:paraId="7E943B76" w14:textId="36A3BF18" w:rsidR="009A4AF6" w:rsidRPr="009A4AF6" w:rsidRDefault="009A4AF6" w:rsidP="009A4AF6">
      <w:pPr>
        <w:pStyle w:val="ListParagraph"/>
        <w:numPr>
          <w:ilvl w:val="0"/>
          <w:numId w:val="37"/>
        </w:numPr>
        <w:spacing w:after="0"/>
        <w:rPr>
          <w:lang w:val="en-GB"/>
        </w:rPr>
      </w:pPr>
      <w:hyperlink r:id="rId16" w:history="1">
        <w:r w:rsidRPr="009A4AF6">
          <w:rPr>
            <w:rStyle w:val="Hyperlink"/>
            <w:lang w:val="en-GB"/>
          </w:rPr>
          <w:t>Neurorehabilitation Clinical Pathways in Stroke: The Padova Model</w:t>
        </w:r>
      </w:hyperlink>
      <w:r>
        <w:rPr>
          <w:lang w:val="en-GB"/>
        </w:rPr>
        <w:t xml:space="preserve">. </w:t>
      </w:r>
      <w:hyperlink r:id="rId17" w:history="1">
        <w:r w:rsidRPr="009A4AF6">
          <w:rPr>
            <w:rStyle w:val="Hyperlink"/>
            <w:color w:val="EE0000"/>
            <w:lang w:val="en-GB"/>
          </w:rPr>
          <w:t>Free Full-text Article</w:t>
        </w:r>
      </w:hyperlink>
    </w:p>
    <w:p w14:paraId="17BA2976" w14:textId="77777777" w:rsidR="009A4AF6" w:rsidRPr="009A4AF6" w:rsidRDefault="009A4AF6" w:rsidP="009A4AF6">
      <w:pPr>
        <w:spacing w:after="0"/>
        <w:rPr>
          <w:lang w:val="en-GB"/>
        </w:rPr>
      </w:pPr>
      <w:r w:rsidRPr="009A4AF6">
        <w:rPr>
          <w:lang w:val="en-GB"/>
        </w:rPr>
        <w:t>Del Felice A, Bisogno AL, Facchini S, et. al.</w:t>
      </w:r>
    </w:p>
    <w:p w14:paraId="5BD556A0" w14:textId="77777777" w:rsidR="009A4AF6" w:rsidRPr="009A4AF6" w:rsidRDefault="009A4AF6" w:rsidP="009A4AF6">
      <w:pPr>
        <w:spacing w:after="0"/>
        <w:rPr>
          <w:lang w:val="en-GB"/>
        </w:rPr>
      </w:pPr>
      <w:proofErr w:type="spellStart"/>
      <w:r w:rsidRPr="009A4AF6">
        <w:rPr>
          <w:lang w:val="en-GB"/>
        </w:rPr>
        <w:t>Neurol</w:t>
      </w:r>
      <w:proofErr w:type="spellEnd"/>
      <w:r w:rsidRPr="009A4AF6">
        <w:rPr>
          <w:lang w:val="en-GB"/>
        </w:rPr>
        <w:t xml:space="preserve"> Sci. 2026 Feb 13;47(3):256. </w:t>
      </w:r>
      <w:proofErr w:type="spellStart"/>
      <w:r w:rsidRPr="009A4AF6">
        <w:rPr>
          <w:lang w:val="en-GB"/>
        </w:rPr>
        <w:t>doi</w:t>
      </w:r>
      <w:proofErr w:type="spellEnd"/>
      <w:r w:rsidRPr="009A4AF6">
        <w:rPr>
          <w:lang w:val="en-GB"/>
        </w:rPr>
        <w:t>: 10.1007/s10072-025-08770-y</w:t>
      </w:r>
    </w:p>
    <w:p w14:paraId="38B9EAAA" w14:textId="77777777" w:rsidR="009A4AF6" w:rsidRPr="009A4AF6" w:rsidRDefault="009A4AF6" w:rsidP="009A4AF6">
      <w:pPr>
        <w:spacing w:after="0"/>
        <w:rPr>
          <w:lang w:val="en-GB"/>
        </w:rPr>
      </w:pPr>
      <w:r w:rsidRPr="009A4AF6">
        <w:rPr>
          <w:b/>
          <w:bCs/>
          <w:lang w:val="en-GB"/>
        </w:rPr>
        <w:t>Results</w:t>
      </w:r>
      <w:r w:rsidRPr="009A4AF6">
        <w:rPr>
          <w:lang w:val="en-GB"/>
        </w:rPr>
        <w:t xml:space="preserve">: Fifty-two guidelines were identified; eight were excluded due to low methodological quality (AGREE II score &lt;6/7). Consensus was reached across all rehabilitation domains through one to three iterative rounds, depending on topic complexity. Agreement was achieved on all proposed assessment tools and intervention items for upper limb, gait and balance, cognitive, speech and language, and dysphagia rehabilitation. Based on consensus outputs, interventions were stratified according to two hierarchical dimensions: </w:t>
      </w:r>
      <w:proofErr w:type="spellStart"/>
      <w:r w:rsidRPr="009A4AF6">
        <w:rPr>
          <w:lang w:val="en-GB"/>
        </w:rPr>
        <w:t>behavioral</w:t>
      </w:r>
      <w:proofErr w:type="spellEnd"/>
      <w:r w:rsidRPr="009A4AF6">
        <w:rPr>
          <w:lang w:val="en-GB"/>
        </w:rPr>
        <w:t xml:space="preserve"> deficits and impairment severity (mild-moderate vs severe), informed by clinical and instrumental assessments and aligned with the International Classification of Functioning, Disability, and Health framework.</w:t>
      </w:r>
    </w:p>
    <w:p w14:paraId="60524BFC" w14:textId="4F6C49AF" w:rsidR="009A4AF6" w:rsidRPr="009A4AF6" w:rsidRDefault="009A4AF6" w:rsidP="009A4AF6">
      <w:r w:rsidRPr="009A4AF6">
        <w:rPr>
          <w:b/>
          <w:bCs/>
          <w:lang w:val="en-GB"/>
        </w:rPr>
        <w:t>Conclusions</w:t>
      </w:r>
      <w:r w:rsidRPr="009A4AF6">
        <w:rPr>
          <w:lang w:val="en-GB"/>
        </w:rPr>
        <w:t>: Using a structured, multidisciplinary consensus approach, we developed evidence-based and context-sensitive neurorehabilitation clinical pathways supported by pragmatic stratification algorithms. This framework provides a reproducible model for translating guideline evidence into standardized inpatient neurorehabilitation practice, with the potential to optimize functional outcomes and quality of life in individuals with neurological disabilities</w:t>
      </w:r>
    </w:p>
    <w:p w14:paraId="66AAD42E" w14:textId="14C915BA" w:rsidR="00BE6608" w:rsidRPr="00496C59" w:rsidRDefault="00BE6608" w:rsidP="00496C59">
      <w:pPr>
        <w:pStyle w:val="Heading2"/>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496C59">
        <w:t>Systematic Reviews</w:t>
      </w:r>
      <w:bookmarkEnd w:id="23"/>
      <w:r w:rsidR="007C5583" w:rsidRPr="00496C59">
        <w:t xml:space="preserve"> </w:t>
      </w:r>
    </w:p>
    <w:p w14:paraId="3A6CE1AB" w14:textId="2FF6EA06" w:rsidR="00AA067C" w:rsidRDefault="00661EA2" w:rsidP="00496C59">
      <w:pPr>
        <w:pStyle w:val="Heading3"/>
      </w:pPr>
      <w:bookmarkStart w:id="24" w:name="CP_Systemtic_Review"/>
      <w:bookmarkStart w:id="25" w:name="_Ref97704960"/>
      <w:bookmarkStart w:id="26" w:name="_Hlk109796769"/>
      <w:bookmarkEnd w:id="14"/>
      <w:bookmarkEnd w:id="24"/>
      <w:r w:rsidRPr="00496C59">
        <w:t>Cerebral palsy</w:t>
      </w:r>
      <w:bookmarkEnd w:id="25"/>
    </w:p>
    <w:bookmarkStart w:id="27" w:name="_Hlk119055008"/>
    <w:bookmarkStart w:id="28" w:name="_Hlk109796913"/>
    <w:bookmarkStart w:id="29" w:name="_Hlk97698377"/>
    <w:bookmarkEnd w:id="26"/>
    <w:p w14:paraId="041FC307" w14:textId="77777777" w:rsidR="009A4AF6" w:rsidRPr="009A4AF6" w:rsidRDefault="009A4AF6" w:rsidP="009A4AF6">
      <w:pPr>
        <w:pStyle w:val="ListParagraph"/>
        <w:numPr>
          <w:ilvl w:val="0"/>
          <w:numId w:val="38"/>
        </w:numPr>
        <w:spacing w:after="0"/>
      </w:pPr>
      <w:r w:rsidRPr="009A4AF6">
        <w:fldChar w:fldCharType="begin"/>
      </w:r>
      <w:r w:rsidRPr="009A4AF6">
        <w:instrText>HYPERLINK "https://pubmed.ncbi.nlm.nih.gov/41252866/" \t "_blank"</w:instrText>
      </w:r>
      <w:r w:rsidRPr="009A4AF6">
        <w:fldChar w:fldCharType="separate"/>
      </w:r>
      <w:r w:rsidRPr="009A4AF6">
        <w:rPr>
          <w:rStyle w:val="Hyperlink"/>
        </w:rPr>
        <w:t>Robot-assisted gait training for lower limb motor recovery in cerebral palsy: A meta-analysis of combined and standalone approaches.</w:t>
      </w:r>
      <w:r w:rsidRPr="009A4AF6">
        <w:fldChar w:fldCharType="end"/>
      </w:r>
    </w:p>
    <w:p w14:paraId="518996B8" w14:textId="77777777" w:rsidR="009A4AF6" w:rsidRPr="009A4AF6" w:rsidRDefault="009A4AF6" w:rsidP="009A4AF6">
      <w:pPr>
        <w:spacing w:after="0"/>
      </w:pPr>
      <w:r w:rsidRPr="009A4AF6">
        <w:t>Chen H, Yun G, Wang J, Fan Y, Zhao W, Zhan Y, Sun S, Wang Y.</w:t>
      </w:r>
    </w:p>
    <w:p w14:paraId="2667ED02" w14:textId="77777777" w:rsidR="009A4AF6" w:rsidRDefault="009A4AF6" w:rsidP="009A4AF6">
      <w:pPr>
        <w:spacing w:after="0"/>
      </w:pPr>
      <w:r w:rsidRPr="009A4AF6">
        <w:t xml:space="preserve">Gait Posture. 2026 </w:t>
      </w:r>
      <w:proofErr w:type="gramStart"/>
      <w:r w:rsidRPr="009A4AF6">
        <w:t>Feb;124:110052</w:t>
      </w:r>
      <w:proofErr w:type="gramEnd"/>
      <w:r w:rsidRPr="009A4AF6">
        <w:t xml:space="preserve">. </w:t>
      </w:r>
      <w:proofErr w:type="spellStart"/>
      <w:r w:rsidRPr="009A4AF6">
        <w:t>doi</w:t>
      </w:r>
      <w:proofErr w:type="spellEnd"/>
      <w:r w:rsidRPr="009A4AF6">
        <w:t>: 10.1016/j.gaitpost.2025.110052</w:t>
      </w:r>
    </w:p>
    <w:p w14:paraId="66B78124" w14:textId="77777777" w:rsidR="009A4AF6" w:rsidRPr="009A4AF6" w:rsidRDefault="009A4AF6" w:rsidP="009A4AF6">
      <w:pPr>
        <w:spacing w:after="0"/>
      </w:pPr>
      <w:r w:rsidRPr="009A4AF6">
        <w:rPr>
          <w:b/>
          <w:bCs/>
        </w:rPr>
        <w:t>Results: </w:t>
      </w:r>
      <w:r w:rsidRPr="009A4AF6">
        <w:t xml:space="preserve">Combined RAGT+CGT significantly outperformed RAGT alone and CGT in GMFM-D [MD= 8.39,95 %CI(5.56,11.23) vs. 5.11,95 %CI(1.22,9.00),P &lt; 0.00001], BBS [MD= 6.15,95 %CI(4.81,7.48) vs. 2.45,95 %CI(0.94,3.96),P &lt; 0.00001], 6MWT [MD= 41.35,95 %CI(17.65,65.06) vs. 21.50,95 %CI(12.67,30.33),P = 0.0006],Walking speed [MD= 5.69,95 %CI(0.75,10.63) vs. 0.98,95 %CI(-0.78,2.75),P = 0.02] and MAS [MD= -0.37,95 %CI(-0.63,-0.12) vs. 0.19,95 %CI(-0.27,0.65),P = 0.004]. Low-to-medium dose interventions (1000-4000 min) achieved superior gains in GMFM-D/E compared to long-term protocols. Exoskeleton treadmills (e.g., </w:t>
      </w:r>
      <w:proofErr w:type="spellStart"/>
      <w:r w:rsidRPr="009A4AF6">
        <w:t>Lokomat</w:t>
      </w:r>
      <w:proofErr w:type="spellEnd"/>
      <w:r w:rsidRPr="009A4AF6">
        <w:t>) outperformed wearable devices in GMFM-D/E improvements. Heterogeneity was moderate-to-high (I²=69-88 %), but sensitivity analyses confirmed robustness.</w:t>
      </w:r>
    </w:p>
    <w:p w14:paraId="28E23BC3" w14:textId="153782D3" w:rsidR="009A4AF6" w:rsidRPr="009A4AF6" w:rsidRDefault="009A4AF6" w:rsidP="009A4AF6">
      <w:pPr>
        <w:spacing w:after="0"/>
      </w:pPr>
      <w:r w:rsidRPr="009A4AF6">
        <w:rPr>
          <w:b/>
          <w:bCs/>
        </w:rPr>
        <w:t>Conclusions: </w:t>
      </w:r>
      <w:r w:rsidRPr="009A4AF6">
        <w:t xml:space="preserve">Combined RAGT and conventional rehabilitation significantly enhances lower limb motor function, balance, walking endurance/speed, and reduces spasticity in children with CP compared to RAGT alone (excluding GMFM-E). Medium-term interventions (8 </w:t>
      </w:r>
      <w:r w:rsidR="00504A03" w:rsidRPr="009A4AF6">
        <w:t>weeks; dose</w:t>
      </w:r>
      <w:r w:rsidRPr="009A4AF6">
        <w:t>:1000-4000 min) using exoskeleton treadmills yield superior outcomes to both extended protocols (&gt;8 weeks;&gt;4000 min) and wearable devices. Standardized assessments are needed to clarify GMFM-E improvements</w:t>
      </w:r>
    </w:p>
    <w:p w14:paraId="65341161" w14:textId="77777777" w:rsidR="009A4AF6" w:rsidRDefault="009A4AF6" w:rsidP="009444A0">
      <w:pPr>
        <w:spacing w:after="0"/>
      </w:pPr>
    </w:p>
    <w:p w14:paraId="625F72B9" w14:textId="77777777" w:rsidR="009A4AF6" w:rsidRPr="009A4AF6" w:rsidRDefault="009A4AF6" w:rsidP="009A4AF6">
      <w:pPr>
        <w:pStyle w:val="ListParagraph"/>
        <w:numPr>
          <w:ilvl w:val="0"/>
          <w:numId w:val="38"/>
        </w:numPr>
        <w:spacing w:after="0"/>
      </w:pPr>
      <w:hyperlink r:id="rId18" w:tgtFrame="_blank" w:history="1">
        <w:r w:rsidRPr="009A4AF6">
          <w:rPr>
            <w:rStyle w:val="Hyperlink"/>
          </w:rPr>
          <w:t xml:space="preserve">The Effectiveness of Physical Activity and Nutrition Interventions for Children and Adolescents </w:t>
        </w:r>
        <w:proofErr w:type="gramStart"/>
        <w:r w:rsidRPr="009A4AF6">
          <w:rPr>
            <w:rStyle w:val="Hyperlink"/>
          </w:rPr>
          <w:t>With</w:t>
        </w:r>
        <w:proofErr w:type="gramEnd"/>
        <w:r w:rsidRPr="009A4AF6">
          <w:rPr>
            <w:rStyle w:val="Hyperlink"/>
          </w:rPr>
          <w:t> Cerebral Palsy to Improve Physical Health and Cognitive Outcomes: A Systematic Review.</w:t>
        </w:r>
      </w:hyperlink>
    </w:p>
    <w:p w14:paraId="02C0FD0D" w14:textId="77777777" w:rsidR="009A4AF6" w:rsidRPr="009A4AF6" w:rsidRDefault="009A4AF6" w:rsidP="009A4AF6">
      <w:pPr>
        <w:spacing w:after="0"/>
      </w:pPr>
      <w:r w:rsidRPr="009A4AF6">
        <w:lastRenderedPageBreak/>
        <w:t xml:space="preserve">Cossington J, Coe S, Nagy L, </w:t>
      </w:r>
      <w:proofErr w:type="spellStart"/>
      <w:r w:rsidRPr="009A4AF6">
        <w:t>Mitaras</w:t>
      </w:r>
      <w:proofErr w:type="spellEnd"/>
      <w:r w:rsidRPr="009A4AF6">
        <w:t xml:space="preserve"> T, Dawes H.</w:t>
      </w:r>
    </w:p>
    <w:p w14:paraId="40B88708" w14:textId="77777777" w:rsidR="009A4AF6" w:rsidRDefault="009A4AF6" w:rsidP="009A4AF6">
      <w:pPr>
        <w:spacing w:after="0"/>
      </w:pPr>
      <w:proofErr w:type="spellStart"/>
      <w:r w:rsidRPr="009A4AF6">
        <w:t>Pediatr</w:t>
      </w:r>
      <w:proofErr w:type="spellEnd"/>
      <w:r w:rsidRPr="009A4AF6">
        <w:t xml:space="preserve"> </w:t>
      </w:r>
      <w:proofErr w:type="spellStart"/>
      <w:r w:rsidRPr="009A4AF6">
        <w:t>Exerc</w:t>
      </w:r>
      <w:proofErr w:type="spellEnd"/>
      <w:r w:rsidRPr="009A4AF6">
        <w:t xml:space="preserve"> Sci. 2025 Feb 13;38(1):96-106. </w:t>
      </w:r>
      <w:proofErr w:type="spellStart"/>
      <w:r w:rsidRPr="009A4AF6">
        <w:t>doi</w:t>
      </w:r>
      <w:proofErr w:type="spellEnd"/>
      <w:r w:rsidRPr="009A4AF6">
        <w:t>: 10.1123/pes.2024-0068.</w:t>
      </w:r>
    </w:p>
    <w:p w14:paraId="61B0E2D2" w14:textId="77777777" w:rsidR="009A4AF6" w:rsidRPr="009A4AF6" w:rsidRDefault="009A4AF6" w:rsidP="009A4AF6">
      <w:pPr>
        <w:spacing w:after="0"/>
      </w:pPr>
      <w:r w:rsidRPr="009A4AF6">
        <w:rPr>
          <w:b/>
          <w:bCs/>
        </w:rPr>
        <w:t>Results: </w:t>
      </w:r>
      <w:r w:rsidRPr="009A4AF6">
        <w:t>A total of 16 international heterogeneous studies (13 physical activity and 3 nutrition) with interventions ranging from a single exposure to 8 months, with quality 58% to 89% and effectiveness, D = 0.03 to 0.97, were included. Outcome measures were varied.</w:t>
      </w:r>
    </w:p>
    <w:p w14:paraId="59FA81B5" w14:textId="77777777" w:rsidR="009A4AF6" w:rsidRPr="009A4AF6" w:rsidRDefault="009A4AF6" w:rsidP="009A4AF6">
      <w:pPr>
        <w:spacing w:after="0"/>
      </w:pPr>
      <w:r w:rsidRPr="009A4AF6">
        <w:rPr>
          <w:b/>
          <w:bCs/>
        </w:rPr>
        <w:t>Conclusion: </w:t>
      </w:r>
      <w:r w:rsidRPr="009A4AF6">
        <w:t>The review brings together a number of high-quality studies on physical activity and nutrition interventions and promising findings of impact on cardiovascular, musculoskeletal, and cognitive outcomes. Evidence supports implementation of these interventions in community contexts. Future research would benefit from agreement on the use of core outcome measures for meta-synthesis</w:t>
      </w:r>
    </w:p>
    <w:p w14:paraId="29D531CA" w14:textId="6767043C" w:rsidR="00316E0F" w:rsidRDefault="008F6603" w:rsidP="009444A0">
      <w:pPr>
        <w:spacing w:after="0"/>
      </w:pPr>
      <w:hyperlink w:anchor="content" w:history="1">
        <w:r w:rsidRPr="00496C59">
          <w:rPr>
            <w:rStyle w:val="Hyperlink"/>
            <w:rFonts w:cs="Times New Roman"/>
            <w:szCs w:val="20"/>
          </w:rPr>
          <w:t>Back to content</w:t>
        </w:r>
      </w:hyperlink>
    </w:p>
    <w:p w14:paraId="7E41014F" w14:textId="77777777" w:rsidR="00092E2B" w:rsidRPr="00496C59" w:rsidRDefault="00092E2B" w:rsidP="009444A0">
      <w:pPr>
        <w:spacing w:after="0"/>
        <w:rPr>
          <w:rStyle w:val="Hyperlink"/>
          <w:rFonts w:cs="Times New Roman"/>
          <w:szCs w:val="20"/>
        </w:rPr>
      </w:pPr>
    </w:p>
    <w:p w14:paraId="0AD2F070" w14:textId="473BA099" w:rsidR="005E6DAE" w:rsidRDefault="005E6DAE" w:rsidP="00496C59">
      <w:pPr>
        <w:pStyle w:val="Heading3"/>
      </w:pPr>
      <w:bookmarkStart w:id="30" w:name="LBP_Systemtic_Review"/>
      <w:bookmarkStart w:id="31" w:name="_Low_back_pain"/>
      <w:bookmarkStart w:id="32" w:name="_Ref97704971"/>
      <w:bookmarkEnd w:id="30"/>
      <w:bookmarkEnd w:id="31"/>
      <w:r w:rsidRPr="00496C59">
        <w:t>Low back</w:t>
      </w:r>
      <w:bookmarkEnd w:id="32"/>
      <w:r w:rsidRPr="00496C59">
        <w:t xml:space="preserve"> pain</w:t>
      </w:r>
    </w:p>
    <w:p w14:paraId="6E0D8216" w14:textId="77777777" w:rsidR="009A4AF6" w:rsidRPr="0050043E" w:rsidRDefault="009A4AF6" w:rsidP="0050043E">
      <w:pPr>
        <w:pStyle w:val="ListParagraph"/>
        <w:numPr>
          <w:ilvl w:val="0"/>
          <w:numId w:val="39"/>
        </w:numPr>
        <w:spacing w:after="0"/>
        <w:rPr>
          <w:rFonts w:cs="Times New Roman"/>
          <w:szCs w:val="20"/>
        </w:rPr>
      </w:pPr>
      <w:hyperlink r:id="rId19" w:tgtFrame="_blank" w:history="1">
        <w:r w:rsidRPr="0050043E">
          <w:rPr>
            <w:rStyle w:val="Hyperlink"/>
            <w:rFonts w:cs="Times New Roman"/>
            <w:szCs w:val="20"/>
          </w:rPr>
          <w:t>Effectiveness of telerehabilitation on chronic low back Pain: Systematic review and Meta-Analysis.</w:t>
        </w:r>
      </w:hyperlink>
    </w:p>
    <w:p w14:paraId="174468E6" w14:textId="77777777" w:rsidR="009A4AF6" w:rsidRPr="009A4AF6" w:rsidRDefault="009A4AF6" w:rsidP="009A4AF6">
      <w:pPr>
        <w:spacing w:after="0"/>
        <w:rPr>
          <w:rFonts w:cs="Times New Roman"/>
          <w:szCs w:val="20"/>
        </w:rPr>
      </w:pPr>
      <w:proofErr w:type="spellStart"/>
      <w:r w:rsidRPr="009A4AF6">
        <w:rPr>
          <w:rFonts w:cs="Times New Roman"/>
          <w:szCs w:val="20"/>
        </w:rPr>
        <w:t>Alahmri</w:t>
      </w:r>
      <w:proofErr w:type="spellEnd"/>
      <w:r w:rsidRPr="009A4AF6">
        <w:rPr>
          <w:rFonts w:cs="Times New Roman"/>
          <w:szCs w:val="20"/>
        </w:rPr>
        <w:t xml:space="preserve"> F, </w:t>
      </w:r>
      <w:proofErr w:type="spellStart"/>
      <w:r w:rsidRPr="009A4AF6">
        <w:rPr>
          <w:rFonts w:cs="Times New Roman"/>
          <w:szCs w:val="20"/>
        </w:rPr>
        <w:t>Nuhmani</w:t>
      </w:r>
      <w:proofErr w:type="spellEnd"/>
      <w:r w:rsidRPr="009A4AF6">
        <w:rPr>
          <w:rFonts w:cs="Times New Roman"/>
          <w:szCs w:val="20"/>
        </w:rPr>
        <w:t xml:space="preserve"> S, </w:t>
      </w:r>
      <w:proofErr w:type="spellStart"/>
      <w:r w:rsidRPr="009A4AF6">
        <w:rPr>
          <w:rFonts w:cs="Times New Roman"/>
          <w:szCs w:val="20"/>
        </w:rPr>
        <w:t>Muaidi</w:t>
      </w:r>
      <w:proofErr w:type="spellEnd"/>
      <w:r w:rsidRPr="009A4AF6">
        <w:rPr>
          <w:rFonts w:cs="Times New Roman"/>
          <w:szCs w:val="20"/>
        </w:rPr>
        <w:t xml:space="preserve"> Q.</w:t>
      </w:r>
    </w:p>
    <w:p w14:paraId="36791067" w14:textId="77777777" w:rsidR="009A4AF6" w:rsidRPr="009A4AF6" w:rsidRDefault="009A4AF6" w:rsidP="009A4AF6">
      <w:pPr>
        <w:spacing w:after="0"/>
        <w:rPr>
          <w:rFonts w:cs="Times New Roman"/>
          <w:szCs w:val="20"/>
        </w:rPr>
      </w:pPr>
      <w:r w:rsidRPr="009A4AF6">
        <w:rPr>
          <w:rFonts w:cs="Times New Roman"/>
          <w:szCs w:val="20"/>
        </w:rPr>
        <w:t xml:space="preserve">Int J Med Inform. 2026 </w:t>
      </w:r>
      <w:proofErr w:type="gramStart"/>
      <w:r w:rsidRPr="009A4AF6">
        <w:rPr>
          <w:rFonts w:cs="Times New Roman"/>
          <w:szCs w:val="20"/>
        </w:rPr>
        <w:t>Feb;206:106174</w:t>
      </w:r>
      <w:proofErr w:type="gramEnd"/>
      <w:r w:rsidRPr="009A4AF6">
        <w:rPr>
          <w:rFonts w:cs="Times New Roman"/>
          <w:szCs w:val="20"/>
        </w:rPr>
        <w:t xml:space="preserve">. </w:t>
      </w:r>
      <w:proofErr w:type="spellStart"/>
      <w:r w:rsidRPr="009A4AF6">
        <w:rPr>
          <w:rFonts w:cs="Times New Roman"/>
          <w:szCs w:val="20"/>
        </w:rPr>
        <w:t>doi</w:t>
      </w:r>
      <w:proofErr w:type="spellEnd"/>
      <w:r w:rsidRPr="009A4AF6">
        <w:rPr>
          <w:rFonts w:cs="Times New Roman"/>
          <w:szCs w:val="20"/>
        </w:rPr>
        <w:t xml:space="preserve">: 10.1016/j.ijmedinf.2025.106174. </w:t>
      </w:r>
      <w:proofErr w:type="spellStart"/>
      <w:r w:rsidRPr="009A4AF6">
        <w:rPr>
          <w:rFonts w:cs="Times New Roman"/>
          <w:szCs w:val="20"/>
        </w:rPr>
        <w:t>Epub</w:t>
      </w:r>
      <w:proofErr w:type="spellEnd"/>
      <w:r w:rsidRPr="009A4AF6">
        <w:rPr>
          <w:rFonts w:cs="Times New Roman"/>
          <w:szCs w:val="20"/>
        </w:rPr>
        <w:t xml:space="preserve"> 2025 Nov 6</w:t>
      </w:r>
    </w:p>
    <w:p w14:paraId="4E894E14" w14:textId="77777777" w:rsidR="009A4AF6" w:rsidRPr="009A4AF6" w:rsidRDefault="009A4AF6" w:rsidP="009A4AF6">
      <w:pPr>
        <w:spacing w:after="0"/>
        <w:rPr>
          <w:rFonts w:cs="Times New Roman"/>
          <w:szCs w:val="20"/>
        </w:rPr>
      </w:pPr>
      <w:r w:rsidRPr="009A4AF6">
        <w:rPr>
          <w:rFonts w:cs="Times New Roman"/>
          <w:b/>
          <w:bCs/>
          <w:szCs w:val="20"/>
        </w:rPr>
        <w:t>Results: </w:t>
      </w:r>
      <w:r w:rsidRPr="009A4AF6">
        <w:rPr>
          <w:rFonts w:cs="Times New Roman"/>
          <w:szCs w:val="20"/>
        </w:rPr>
        <w:t>Eight studies were included in the review. The pain intensity findings showed the pooled mean difference was 0.12 (95 % CI: -0.23 to 0.48), slightly favoring the control group. For functional disability, the pooled mean difference was -0.43 (95 % CI: -4.12 to 3.26), slightly favoring telerehabilitation; however, both results were not statistically significant. Significant heterogeneity was observed across studies for both outcomes (I</w:t>
      </w:r>
      <w:r w:rsidRPr="009A4AF6">
        <w:rPr>
          <w:rFonts w:cs="Times New Roman"/>
          <w:szCs w:val="20"/>
          <w:vertAlign w:val="superscript"/>
        </w:rPr>
        <w:t>2</w:t>
      </w:r>
      <w:r w:rsidRPr="009A4AF6">
        <w:rPr>
          <w:rFonts w:cs="Times New Roman"/>
          <w:szCs w:val="20"/>
        </w:rPr>
        <w:t> = 43 % for pain intensity, I</w:t>
      </w:r>
      <w:r w:rsidRPr="009A4AF6">
        <w:rPr>
          <w:rFonts w:cs="Times New Roman"/>
          <w:szCs w:val="20"/>
          <w:vertAlign w:val="superscript"/>
        </w:rPr>
        <w:t>2</w:t>
      </w:r>
      <w:r w:rsidRPr="009A4AF6">
        <w:rPr>
          <w:rFonts w:cs="Times New Roman"/>
          <w:szCs w:val="20"/>
        </w:rPr>
        <w:t> = 70 % for functional disability), suggesting substantial variability among the included studies.</w:t>
      </w:r>
    </w:p>
    <w:p w14:paraId="04854058" w14:textId="77777777" w:rsidR="009A4AF6" w:rsidRPr="009A4AF6" w:rsidRDefault="009A4AF6" w:rsidP="009A4AF6">
      <w:pPr>
        <w:spacing w:after="0"/>
        <w:rPr>
          <w:rFonts w:cs="Times New Roman"/>
          <w:szCs w:val="20"/>
        </w:rPr>
      </w:pPr>
      <w:r w:rsidRPr="009A4AF6">
        <w:rPr>
          <w:rFonts w:cs="Times New Roman"/>
          <w:b/>
          <w:bCs/>
          <w:szCs w:val="20"/>
        </w:rPr>
        <w:t>Conclusion: </w:t>
      </w:r>
      <w:r w:rsidRPr="009A4AF6">
        <w:rPr>
          <w:rFonts w:cs="Times New Roman"/>
          <w:szCs w:val="20"/>
        </w:rPr>
        <w:t>No significant differences were found between telerehabilitation and conventional rehabilitation for chronic low back pain, but the small number of studies and heterogeneity limit firm conclusions. Larger trials are needed to confirm these findings</w:t>
      </w:r>
    </w:p>
    <w:p w14:paraId="4AC4DE67" w14:textId="77777777" w:rsidR="009A4AF6" w:rsidRDefault="009A4AF6" w:rsidP="00766964">
      <w:pPr>
        <w:spacing w:after="0"/>
        <w:rPr>
          <w:rFonts w:cs="Times New Roman"/>
          <w:szCs w:val="20"/>
        </w:rPr>
      </w:pPr>
    </w:p>
    <w:p w14:paraId="244E0BAE" w14:textId="4495220C" w:rsidR="009A4AF6" w:rsidRPr="0050043E" w:rsidRDefault="009A4AF6" w:rsidP="0050043E">
      <w:pPr>
        <w:pStyle w:val="ListParagraph"/>
        <w:numPr>
          <w:ilvl w:val="0"/>
          <w:numId w:val="39"/>
        </w:numPr>
        <w:spacing w:after="0"/>
        <w:rPr>
          <w:rFonts w:cs="Times New Roman"/>
          <w:szCs w:val="20"/>
        </w:rPr>
      </w:pPr>
      <w:hyperlink r:id="rId20" w:tgtFrame="_blank" w:history="1">
        <w:r w:rsidRPr="0050043E">
          <w:rPr>
            <w:rStyle w:val="Hyperlink"/>
            <w:rFonts w:cs="Times New Roman"/>
            <w:szCs w:val="20"/>
          </w:rPr>
          <w:t>Dose-Response Effects of Transcutaneous Electrical Nerve Stimulation for Chronic Low Back Pain: A Systematic Review and Meta-Analysis.</w:t>
        </w:r>
      </w:hyperlink>
      <w:r w:rsidR="008F17FB" w:rsidRPr="0050043E">
        <w:rPr>
          <w:rFonts w:cs="Times New Roman"/>
          <w:szCs w:val="20"/>
        </w:rPr>
        <w:t xml:space="preserve"> </w:t>
      </w:r>
      <w:hyperlink r:id="rId21" w:history="1">
        <w:r w:rsidR="008F17FB" w:rsidRPr="0050043E">
          <w:rPr>
            <w:rStyle w:val="Hyperlink"/>
            <w:rFonts w:cs="Times New Roman"/>
            <w:color w:val="EE0000"/>
            <w:szCs w:val="20"/>
          </w:rPr>
          <w:t>Free Full Text</w:t>
        </w:r>
      </w:hyperlink>
    </w:p>
    <w:p w14:paraId="6122CBAE" w14:textId="4CD86302" w:rsidR="009A4AF6" w:rsidRPr="009A4AF6" w:rsidRDefault="009A4AF6" w:rsidP="009A4AF6">
      <w:pPr>
        <w:spacing w:after="0"/>
        <w:rPr>
          <w:rFonts w:cs="Times New Roman"/>
          <w:szCs w:val="20"/>
        </w:rPr>
      </w:pPr>
      <w:r w:rsidRPr="009A4AF6">
        <w:rPr>
          <w:rFonts w:cs="Times New Roman"/>
          <w:szCs w:val="20"/>
        </w:rPr>
        <w:t xml:space="preserve">Amer-Cuenca JJ, </w:t>
      </w:r>
      <w:proofErr w:type="spellStart"/>
      <w:r w:rsidRPr="009A4AF6">
        <w:rPr>
          <w:rFonts w:cs="Times New Roman"/>
          <w:szCs w:val="20"/>
        </w:rPr>
        <w:t>Lisón</w:t>
      </w:r>
      <w:proofErr w:type="spellEnd"/>
      <w:r w:rsidRPr="009A4AF6">
        <w:rPr>
          <w:rFonts w:cs="Times New Roman"/>
          <w:szCs w:val="20"/>
        </w:rPr>
        <w:t xml:space="preserve"> JF, Ferrer-</w:t>
      </w:r>
      <w:proofErr w:type="spellStart"/>
      <w:r w:rsidRPr="009A4AF6">
        <w:rPr>
          <w:rFonts w:cs="Times New Roman"/>
          <w:szCs w:val="20"/>
        </w:rPr>
        <w:t>Sargues</w:t>
      </w:r>
      <w:proofErr w:type="spellEnd"/>
      <w:r w:rsidRPr="009A4AF6">
        <w:rPr>
          <w:rFonts w:cs="Times New Roman"/>
          <w:szCs w:val="20"/>
        </w:rPr>
        <w:t xml:space="preserve"> FJ</w:t>
      </w:r>
      <w:r>
        <w:rPr>
          <w:rFonts w:cs="Times New Roman"/>
          <w:szCs w:val="20"/>
        </w:rPr>
        <w:t xml:space="preserve"> et al. </w:t>
      </w:r>
    </w:p>
    <w:p w14:paraId="0EECB844" w14:textId="77777777" w:rsidR="009A4AF6" w:rsidRPr="009A4AF6" w:rsidRDefault="009A4AF6" w:rsidP="009A4AF6">
      <w:pPr>
        <w:spacing w:after="0"/>
        <w:rPr>
          <w:rFonts w:cs="Times New Roman"/>
          <w:szCs w:val="20"/>
        </w:rPr>
      </w:pPr>
      <w:proofErr w:type="spellStart"/>
      <w:r w:rsidRPr="009A4AF6">
        <w:rPr>
          <w:rFonts w:cs="Times New Roman"/>
          <w:szCs w:val="20"/>
        </w:rPr>
        <w:t>Eur</w:t>
      </w:r>
      <w:proofErr w:type="spellEnd"/>
      <w:r w:rsidRPr="009A4AF6">
        <w:rPr>
          <w:rFonts w:cs="Times New Roman"/>
          <w:szCs w:val="20"/>
        </w:rPr>
        <w:t xml:space="preserve"> J Pain. 2026 Feb;30(2</w:t>
      </w:r>
      <w:proofErr w:type="gramStart"/>
      <w:r w:rsidRPr="009A4AF6">
        <w:rPr>
          <w:rFonts w:cs="Times New Roman"/>
          <w:szCs w:val="20"/>
        </w:rPr>
        <w:t>):e</w:t>
      </w:r>
      <w:proofErr w:type="gramEnd"/>
      <w:r w:rsidRPr="009A4AF6">
        <w:rPr>
          <w:rFonts w:cs="Times New Roman"/>
          <w:szCs w:val="20"/>
        </w:rPr>
        <w:t xml:space="preserve">70222. </w:t>
      </w:r>
      <w:proofErr w:type="spellStart"/>
      <w:r w:rsidRPr="009A4AF6">
        <w:rPr>
          <w:rFonts w:cs="Times New Roman"/>
          <w:szCs w:val="20"/>
        </w:rPr>
        <w:t>doi</w:t>
      </w:r>
      <w:proofErr w:type="spellEnd"/>
      <w:r w:rsidRPr="009A4AF6">
        <w:rPr>
          <w:rFonts w:cs="Times New Roman"/>
          <w:szCs w:val="20"/>
        </w:rPr>
        <w:t>: 10.1002/ejp.70222</w:t>
      </w:r>
    </w:p>
    <w:p w14:paraId="1F9D378E" w14:textId="77777777" w:rsidR="008F17FB" w:rsidRPr="008F17FB" w:rsidRDefault="008F17FB" w:rsidP="008F17FB">
      <w:pPr>
        <w:spacing w:after="0"/>
        <w:rPr>
          <w:rFonts w:cs="Times New Roman"/>
          <w:szCs w:val="20"/>
        </w:rPr>
      </w:pPr>
      <w:r w:rsidRPr="008F17FB">
        <w:rPr>
          <w:rFonts w:cs="Times New Roman"/>
          <w:b/>
          <w:bCs/>
          <w:szCs w:val="20"/>
        </w:rPr>
        <w:t>Results: </w:t>
      </w:r>
      <w:r w:rsidRPr="008F17FB">
        <w:rPr>
          <w:rFonts w:cs="Times New Roman"/>
          <w:szCs w:val="20"/>
        </w:rPr>
        <w:t>The initial random-effects model showed no significant effect of TENS on pain (d</w:t>
      </w:r>
      <w:r w:rsidRPr="008F17FB">
        <w:rPr>
          <w:rFonts w:cs="Times New Roman"/>
          <w:szCs w:val="20"/>
          <w:vertAlign w:val="subscript"/>
        </w:rPr>
        <w:t>+</w:t>
      </w:r>
      <w:r w:rsidRPr="008F17FB">
        <w:rPr>
          <w:rFonts w:cs="Times New Roman"/>
          <w:szCs w:val="20"/>
        </w:rPr>
        <w:t> = 0.16, p &gt; 0.050, k = 64) when dosing parameters were not considered. However, moderator analyses comparing TENS with control or placebo groups revealed that appropriate intensity was associated with larger effects than inappropriate intensity (</w:t>
      </w:r>
      <w:proofErr w:type="spellStart"/>
      <w:r w:rsidRPr="008F17FB">
        <w:rPr>
          <w:rFonts w:cs="Times New Roman"/>
          <w:szCs w:val="20"/>
        </w:rPr>
        <w:t>Δd</w:t>
      </w:r>
      <w:proofErr w:type="spellEnd"/>
      <w:r w:rsidRPr="008F17FB">
        <w:rPr>
          <w:rFonts w:cs="Times New Roman"/>
          <w:szCs w:val="20"/>
          <w:vertAlign w:val="subscript"/>
        </w:rPr>
        <w:t>+</w:t>
      </w:r>
      <w:r w:rsidRPr="008F17FB">
        <w:rPr>
          <w:rFonts w:cs="Times New Roman"/>
          <w:szCs w:val="20"/>
        </w:rPr>
        <w:t xml:space="preserve">≈0.67; </w:t>
      </w:r>
      <w:proofErr w:type="gramStart"/>
      <w:r w:rsidRPr="008F17FB">
        <w:rPr>
          <w:rFonts w:cs="Times New Roman"/>
          <w:szCs w:val="20"/>
        </w:rPr>
        <w:t>F(</w:t>
      </w:r>
      <w:proofErr w:type="gramEnd"/>
      <w:r w:rsidRPr="008F17FB">
        <w:rPr>
          <w:rFonts w:cs="Times New Roman"/>
          <w:szCs w:val="20"/>
        </w:rPr>
        <w:t>1, 16) = 7.27, p = 0.016), with subgroup estimates of d</w:t>
      </w:r>
      <w:r w:rsidRPr="008F17FB">
        <w:rPr>
          <w:rFonts w:cs="Times New Roman"/>
          <w:szCs w:val="20"/>
          <w:vertAlign w:val="subscript"/>
        </w:rPr>
        <w:t>+</w:t>
      </w:r>
      <w:r w:rsidRPr="008F17FB">
        <w:rPr>
          <w:rFonts w:cs="Times New Roman"/>
          <w:szCs w:val="20"/>
        </w:rPr>
        <w:t> = 0.97 (95% CI 0.65-1.30; k = 12) versus d</w:t>
      </w:r>
      <w:r w:rsidRPr="008F17FB">
        <w:rPr>
          <w:rFonts w:cs="Times New Roman"/>
          <w:szCs w:val="20"/>
          <w:vertAlign w:val="subscript"/>
        </w:rPr>
        <w:t>+</w:t>
      </w:r>
      <w:r w:rsidRPr="008F17FB">
        <w:rPr>
          <w:rFonts w:cs="Times New Roman"/>
          <w:szCs w:val="20"/>
        </w:rPr>
        <w:t> = 0.30 (95% CI -0.11 to 0.72; k = 6). Frequency, number of sessions and electrode placement showed no significant impact.</w:t>
      </w:r>
    </w:p>
    <w:p w14:paraId="6D69087E" w14:textId="77777777" w:rsidR="008F17FB" w:rsidRPr="008F17FB" w:rsidRDefault="008F17FB" w:rsidP="008F17FB">
      <w:pPr>
        <w:spacing w:after="0"/>
        <w:rPr>
          <w:rFonts w:cs="Times New Roman"/>
          <w:szCs w:val="20"/>
        </w:rPr>
      </w:pPr>
      <w:r w:rsidRPr="008F17FB">
        <w:rPr>
          <w:rFonts w:cs="Times New Roman"/>
          <w:b/>
          <w:bCs/>
          <w:szCs w:val="20"/>
        </w:rPr>
        <w:t>Conclusions: </w:t>
      </w:r>
      <w:r w:rsidRPr="008F17FB">
        <w:rPr>
          <w:rFonts w:cs="Times New Roman"/>
          <w:szCs w:val="20"/>
        </w:rPr>
        <w:t xml:space="preserve">TENS can reduce pain in individuals with CLBP when delivered at a sensory-level intensity that is clearly perceptible and titrated throughout the session. Fixed intensity and stimulation strong enough to elicit muscle contractions are generally not recommended. These findings support the relevance of dosing in </w:t>
      </w:r>
      <w:proofErr w:type="spellStart"/>
      <w:r w:rsidRPr="008F17FB">
        <w:rPr>
          <w:rFonts w:cs="Times New Roman"/>
          <w:szCs w:val="20"/>
        </w:rPr>
        <w:t>optimising</w:t>
      </w:r>
      <w:proofErr w:type="spellEnd"/>
      <w:r w:rsidRPr="008F17FB">
        <w:rPr>
          <w:rFonts w:cs="Times New Roman"/>
          <w:szCs w:val="20"/>
        </w:rPr>
        <w:t xml:space="preserve"> TENS effectiveness. Overall, the certainty of evidence appears low due to the high risk of bias and substantial heterogeneity</w:t>
      </w:r>
    </w:p>
    <w:p w14:paraId="53B86C70" w14:textId="77777777" w:rsidR="009A4AF6" w:rsidRDefault="009A4AF6" w:rsidP="00766964">
      <w:pPr>
        <w:spacing w:after="0"/>
        <w:rPr>
          <w:rFonts w:cs="Times New Roman"/>
          <w:szCs w:val="20"/>
        </w:rPr>
      </w:pPr>
    </w:p>
    <w:p w14:paraId="1B8C36D2" w14:textId="77777777" w:rsidR="009A4AF6" w:rsidRPr="0050043E" w:rsidRDefault="009A4AF6" w:rsidP="0050043E">
      <w:pPr>
        <w:pStyle w:val="ListParagraph"/>
        <w:numPr>
          <w:ilvl w:val="0"/>
          <w:numId w:val="39"/>
        </w:numPr>
        <w:spacing w:after="0"/>
        <w:rPr>
          <w:rFonts w:cs="Times New Roman"/>
          <w:szCs w:val="20"/>
        </w:rPr>
      </w:pPr>
      <w:hyperlink r:id="rId22" w:tgtFrame="_blank" w:history="1">
        <w:r w:rsidRPr="0050043E">
          <w:rPr>
            <w:rStyle w:val="Hyperlink"/>
            <w:rFonts w:cs="Times New Roman"/>
            <w:szCs w:val="20"/>
          </w:rPr>
          <w:t>Effect of foot orthoses on pain and disability in patients with low back pain: a meta-analysis of randomized controlled trials.</w:t>
        </w:r>
      </w:hyperlink>
    </w:p>
    <w:p w14:paraId="6D1FD095" w14:textId="77777777" w:rsidR="009A4AF6" w:rsidRPr="009A4AF6" w:rsidRDefault="009A4AF6" w:rsidP="009A4AF6">
      <w:pPr>
        <w:spacing w:after="0"/>
        <w:rPr>
          <w:rFonts w:cs="Times New Roman"/>
          <w:szCs w:val="20"/>
        </w:rPr>
      </w:pPr>
      <w:r w:rsidRPr="009A4AF6">
        <w:rPr>
          <w:rFonts w:cs="Times New Roman"/>
          <w:szCs w:val="20"/>
        </w:rPr>
        <w:t>Lin Z, Cheng J, Hua L, Han X, Wang D, Huang Y.</w:t>
      </w:r>
    </w:p>
    <w:p w14:paraId="7891CA1A" w14:textId="77777777" w:rsidR="009A4AF6" w:rsidRPr="009A4AF6" w:rsidRDefault="009A4AF6" w:rsidP="009A4AF6">
      <w:pPr>
        <w:spacing w:after="0"/>
        <w:rPr>
          <w:rFonts w:cs="Times New Roman"/>
          <w:szCs w:val="20"/>
        </w:rPr>
      </w:pPr>
      <w:proofErr w:type="spellStart"/>
      <w:r w:rsidRPr="009A4AF6">
        <w:rPr>
          <w:rFonts w:cs="Times New Roman"/>
          <w:szCs w:val="20"/>
        </w:rPr>
        <w:t>Disabil</w:t>
      </w:r>
      <w:proofErr w:type="spellEnd"/>
      <w:r w:rsidRPr="009A4AF6">
        <w:rPr>
          <w:rFonts w:cs="Times New Roman"/>
          <w:szCs w:val="20"/>
        </w:rPr>
        <w:t xml:space="preserve"> </w:t>
      </w:r>
      <w:proofErr w:type="spellStart"/>
      <w:r w:rsidRPr="009A4AF6">
        <w:rPr>
          <w:rFonts w:cs="Times New Roman"/>
          <w:szCs w:val="20"/>
        </w:rPr>
        <w:t>Rehabil</w:t>
      </w:r>
      <w:proofErr w:type="spellEnd"/>
      <w:r w:rsidRPr="009A4AF6">
        <w:rPr>
          <w:rFonts w:cs="Times New Roman"/>
          <w:szCs w:val="20"/>
        </w:rPr>
        <w:t xml:space="preserve">. 2026 Feb;48(3):629-645. </w:t>
      </w:r>
      <w:proofErr w:type="spellStart"/>
      <w:r w:rsidRPr="009A4AF6">
        <w:rPr>
          <w:rFonts w:cs="Times New Roman"/>
          <w:szCs w:val="20"/>
        </w:rPr>
        <w:t>doi</w:t>
      </w:r>
      <w:proofErr w:type="spellEnd"/>
      <w:r w:rsidRPr="009A4AF6">
        <w:rPr>
          <w:rFonts w:cs="Times New Roman"/>
          <w:szCs w:val="20"/>
        </w:rPr>
        <w:t>: 10.1080/09638288.2025.2545590</w:t>
      </w:r>
    </w:p>
    <w:p w14:paraId="2B313EFD" w14:textId="77777777" w:rsidR="008F17FB" w:rsidRPr="008F17FB" w:rsidRDefault="008F17FB" w:rsidP="008F17FB">
      <w:pPr>
        <w:spacing w:after="0"/>
        <w:rPr>
          <w:rFonts w:cs="Times New Roman"/>
          <w:szCs w:val="20"/>
        </w:rPr>
      </w:pPr>
      <w:r w:rsidRPr="008F17FB">
        <w:rPr>
          <w:rFonts w:cs="Times New Roman"/>
          <w:b/>
          <w:bCs/>
          <w:szCs w:val="20"/>
        </w:rPr>
        <w:t>Results: </w:t>
      </w:r>
      <w:r w:rsidRPr="008F17FB">
        <w:rPr>
          <w:rFonts w:cs="Times New Roman"/>
          <w:szCs w:val="20"/>
        </w:rPr>
        <w:t>Seven RCTs with 423 participants were analyzed. Most studies had low bias risk, though one had high risk. GRADE assessment indicated low evidence quality. The meta-analysis showed FO significantly reduced pain (</w:t>
      </w:r>
      <w:r w:rsidRPr="008F17FB">
        <w:rPr>
          <w:rFonts w:cs="Times New Roman"/>
          <w:i/>
          <w:iCs/>
          <w:szCs w:val="20"/>
        </w:rPr>
        <w:t>p</w:t>
      </w:r>
      <w:r w:rsidRPr="008F17FB">
        <w:rPr>
          <w:rFonts w:cs="Times New Roman"/>
          <w:szCs w:val="20"/>
        </w:rPr>
        <w:t> = 0.0006) and disability (</w:t>
      </w:r>
      <w:r w:rsidRPr="008F17FB">
        <w:rPr>
          <w:rFonts w:cs="Times New Roman"/>
          <w:i/>
          <w:iCs/>
          <w:szCs w:val="20"/>
        </w:rPr>
        <w:t>p</w:t>
      </w:r>
      <w:r w:rsidRPr="008F17FB">
        <w:rPr>
          <w:rFonts w:cs="Times New Roman"/>
          <w:szCs w:val="20"/>
        </w:rPr>
        <w:t> = 0.0004) compared to controls. This study did not find a significant effect of preformed FO on pain relief and leg length discrepancy (LLD) insole on disability dysfunction (</w:t>
      </w:r>
      <w:r w:rsidRPr="008F17FB">
        <w:rPr>
          <w:rFonts w:cs="Times New Roman"/>
          <w:i/>
          <w:iCs/>
          <w:szCs w:val="20"/>
        </w:rPr>
        <w:t>p</w:t>
      </w:r>
      <w:r w:rsidRPr="008F17FB">
        <w:rPr>
          <w:rFonts w:cs="Times New Roman"/>
          <w:szCs w:val="20"/>
        </w:rPr>
        <w:t> &lt; 0.05). No studies reported adverse events related to FO.</w:t>
      </w:r>
    </w:p>
    <w:p w14:paraId="1B4A2723" w14:textId="32F5E2F5" w:rsidR="008F17FB" w:rsidRPr="008F17FB" w:rsidRDefault="008F17FB" w:rsidP="008F17FB">
      <w:pPr>
        <w:spacing w:after="0"/>
        <w:rPr>
          <w:rFonts w:cs="Times New Roman"/>
          <w:szCs w:val="20"/>
        </w:rPr>
      </w:pPr>
      <w:r w:rsidRPr="008F17FB">
        <w:rPr>
          <w:rFonts w:cs="Times New Roman"/>
          <w:b/>
          <w:bCs/>
          <w:szCs w:val="20"/>
        </w:rPr>
        <w:t>Conclusion: </w:t>
      </w:r>
      <w:r w:rsidRPr="008F17FB">
        <w:rPr>
          <w:rFonts w:cs="Times New Roman"/>
          <w:szCs w:val="20"/>
        </w:rPr>
        <w:t xml:space="preserve">FO is effective and safe for alleviating pain and disability in LBP patients. Conclusions should be interpreted cautiously due to the low quality and heterogeneity of the included studies. Future studies should </w:t>
      </w:r>
      <w:r w:rsidRPr="008F17FB">
        <w:rPr>
          <w:rFonts w:cs="Times New Roman"/>
          <w:szCs w:val="20"/>
        </w:rPr>
        <w:lastRenderedPageBreak/>
        <w:t>concentrate on the long-term efficacy of FO and the identification of appropriate fabrication processes/materials for various LBP types</w:t>
      </w:r>
      <w:r w:rsidR="00504A03">
        <w:rPr>
          <w:rFonts w:cs="Times New Roman"/>
          <w:szCs w:val="20"/>
        </w:rPr>
        <w:t>.</w:t>
      </w:r>
    </w:p>
    <w:p w14:paraId="0B698A8F" w14:textId="77777777" w:rsidR="009A4AF6" w:rsidRDefault="009A4AF6" w:rsidP="00766964">
      <w:pPr>
        <w:spacing w:after="0"/>
        <w:rPr>
          <w:rFonts w:cs="Times New Roman"/>
          <w:szCs w:val="20"/>
        </w:rPr>
      </w:pPr>
    </w:p>
    <w:p w14:paraId="45A0C0F0" w14:textId="743A406E" w:rsidR="008F17FB" w:rsidRPr="0050043E" w:rsidRDefault="008F17FB" w:rsidP="0050043E">
      <w:pPr>
        <w:pStyle w:val="ListParagraph"/>
        <w:numPr>
          <w:ilvl w:val="0"/>
          <w:numId w:val="39"/>
        </w:numPr>
        <w:spacing w:after="0"/>
        <w:rPr>
          <w:rFonts w:cs="Times New Roman"/>
          <w:szCs w:val="20"/>
        </w:rPr>
      </w:pPr>
      <w:hyperlink r:id="rId23" w:tgtFrame="_blank" w:history="1">
        <w:r w:rsidRPr="0050043E">
          <w:rPr>
            <w:rStyle w:val="Hyperlink"/>
            <w:rFonts w:cs="Times New Roman"/>
            <w:szCs w:val="20"/>
          </w:rPr>
          <w:t>Effect of Tai Chi on the pain intensity or disability of patients with chronic low back pain: a systematic review and meta-analysis.</w:t>
        </w:r>
      </w:hyperlink>
      <w:r w:rsidRPr="0050043E">
        <w:rPr>
          <w:rFonts w:cs="Times New Roman"/>
          <w:szCs w:val="20"/>
        </w:rPr>
        <w:t xml:space="preserve"> </w:t>
      </w:r>
      <w:hyperlink r:id="rId24" w:history="1">
        <w:r w:rsidRPr="0050043E">
          <w:rPr>
            <w:rStyle w:val="Hyperlink"/>
            <w:rFonts w:cs="Times New Roman"/>
            <w:color w:val="EE0000"/>
            <w:szCs w:val="20"/>
          </w:rPr>
          <w:t>Free Full Text</w:t>
        </w:r>
      </w:hyperlink>
    </w:p>
    <w:p w14:paraId="43169958" w14:textId="73E86C37" w:rsidR="008F17FB" w:rsidRPr="008F17FB" w:rsidRDefault="008F17FB" w:rsidP="008F17FB">
      <w:pPr>
        <w:spacing w:after="0"/>
        <w:rPr>
          <w:rFonts w:cs="Times New Roman"/>
          <w:szCs w:val="20"/>
        </w:rPr>
      </w:pPr>
      <w:r w:rsidRPr="008F17FB">
        <w:rPr>
          <w:rFonts w:cs="Times New Roman"/>
          <w:szCs w:val="20"/>
        </w:rPr>
        <w:t>Li X, Tang K, Zhang Y</w:t>
      </w:r>
      <w:r>
        <w:rPr>
          <w:rFonts w:cs="Times New Roman"/>
          <w:szCs w:val="20"/>
        </w:rPr>
        <w:t xml:space="preserve"> et al. </w:t>
      </w:r>
    </w:p>
    <w:p w14:paraId="55059CDC" w14:textId="77777777" w:rsidR="008F17FB" w:rsidRPr="008F17FB" w:rsidRDefault="008F17FB" w:rsidP="008F17FB">
      <w:pPr>
        <w:spacing w:after="0"/>
        <w:rPr>
          <w:rFonts w:cs="Times New Roman"/>
          <w:szCs w:val="20"/>
        </w:rPr>
      </w:pPr>
      <w:r w:rsidRPr="008F17FB">
        <w:rPr>
          <w:rFonts w:cs="Times New Roman"/>
          <w:szCs w:val="20"/>
        </w:rPr>
        <w:t xml:space="preserve">Front Sports Act Living. 2026 Feb </w:t>
      </w:r>
      <w:proofErr w:type="gramStart"/>
      <w:r w:rsidRPr="008F17FB">
        <w:rPr>
          <w:rFonts w:cs="Times New Roman"/>
          <w:szCs w:val="20"/>
        </w:rPr>
        <w:t>12;8:1676045</w:t>
      </w:r>
      <w:proofErr w:type="gramEnd"/>
      <w:r w:rsidRPr="008F17FB">
        <w:rPr>
          <w:rFonts w:cs="Times New Roman"/>
          <w:szCs w:val="20"/>
        </w:rPr>
        <w:t xml:space="preserve">. </w:t>
      </w:r>
      <w:proofErr w:type="spellStart"/>
      <w:r w:rsidRPr="008F17FB">
        <w:rPr>
          <w:rFonts w:cs="Times New Roman"/>
          <w:szCs w:val="20"/>
        </w:rPr>
        <w:t>doi</w:t>
      </w:r>
      <w:proofErr w:type="spellEnd"/>
      <w:r w:rsidRPr="008F17FB">
        <w:rPr>
          <w:rFonts w:cs="Times New Roman"/>
          <w:szCs w:val="20"/>
        </w:rPr>
        <w:t>: 10.3389/fspor.2026.1676045</w:t>
      </w:r>
    </w:p>
    <w:p w14:paraId="6BB5E650" w14:textId="77777777" w:rsidR="008F17FB" w:rsidRPr="008F17FB" w:rsidRDefault="008F17FB" w:rsidP="008F17FB">
      <w:pPr>
        <w:spacing w:after="0"/>
        <w:rPr>
          <w:rFonts w:cs="Times New Roman"/>
          <w:szCs w:val="20"/>
        </w:rPr>
      </w:pPr>
      <w:r w:rsidRPr="008F17FB">
        <w:rPr>
          <w:rFonts w:cs="Times New Roman"/>
          <w:b/>
          <w:bCs/>
          <w:szCs w:val="20"/>
        </w:rPr>
        <w:t>Results: </w:t>
      </w:r>
      <w:r w:rsidRPr="008F17FB">
        <w:rPr>
          <w:rFonts w:cs="Times New Roman"/>
          <w:szCs w:val="20"/>
        </w:rPr>
        <w:t>Fourteen RCTs (</w:t>
      </w:r>
      <w:r w:rsidRPr="008F17FB">
        <w:rPr>
          <w:rFonts w:cs="Times New Roman"/>
          <w:i/>
          <w:iCs/>
          <w:szCs w:val="20"/>
        </w:rPr>
        <w:t>n</w:t>
      </w:r>
      <w:r w:rsidRPr="008F17FB">
        <w:rPr>
          <w:rFonts w:cs="Times New Roman"/>
          <w:szCs w:val="20"/>
        </w:rPr>
        <w:t> = 960) met the inclusion criteria. Compared with control conditions, TC was associated with reduced pain intensity (SMD = -2.14; 95% CI: -2.84 to -1.44; </w:t>
      </w:r>
      <w:r w:rsidRPr="008F17FB">
        <w:rPr>
          <w:rFonts w:cs="Times New Roman"/>
          <w:i/>
          <w:iCs/>
          <w:szCs w:val="20"/>
        </w:rPr>
        <w:t>P</w:t>
      </w:r>
      <w:r w:rsidRPr="008F17FB">
        <w:rPr>
          <w:rFonts w:cs="Times New Roman"/>
          <w:szCs w:val="20"/>
        </w:rPr>
        <w:t> &lt; 0.00001; GRADE: moderate) and improvements in disability measures (SMD = -1.45; 95% CI: -2.49 to -0.40; </w:t>
      </w:r>
      <w:r w:rsidRPr="008F17FB">
        <w:rPr>
          <w:rFonts w:cs="Times New Roman"/>
          <w:i/>
          <w:iCs/>
          <w:szCs w:val="20"/>
        </w:rPr>
        <w:t>P</w:t>
      </w:r>
      <w:r w:rsidRPr="008F17FB">
        <w:rPr>
          <w:rFonts w:cs="Times New Roman"/>
          <w:szCs w:val="20"/>
        </w:rPr>
        <w:t> = 0.007; GRADE: very low) and nine disability-related subdomains (pain intensity, personal care, lifting, walking, standing, sitting, sleeping, social life, and traveling). Benefits were also observed for physical function, muscle function, and quality of life, although evidence for proprioception was inconsistent. Subgroup analyses suggested that Chen-style TC and higher training frequency (&gt;3 times/week) might be associated with larger pain reductions, but heterogeneity across studies remained substantial and the certainty of evidence ranged from moderate for pain intensity to very low for most disability outcomes.</w:t>
      </w:r>
    </w:p>
    <w:p w14:paraId="3C5182E0" w14:textId="77777777" w:rsidR="008F17FB" w:rsidRPr="008F17FB" w:rsidRDefault="008F17FB" w:rsidP="008F17FB">
      <w:pPr>
        <w:spacing w:after="0"/>
        <w:rPr>
          <w:rFonts w:cs="Times New Roman"/>
          <w:szCs w:val="20"/>
        </w:rPr>
      </w:pPr>
      <w:r w:rsidRPr="008F17FB">
        <w:rPr>
          <w:rFonts w:cs="Times New Roman"/>
          <w:b/>
          <w:bCs/>
          <w:szCs w:val="20"/>
        </w:rPr>
        <w:t>Conclusion: </w:t>
      </w:r>
      <w:r w:rsidRPr="008F17FB">
        <w:rPr>
          <w:rFonts w:cs="Times New Roman"/>
          <w:szCs w:val="20"/>
        </w:rPr>
        <w:t>TC may be a safe and potentially effective adjunctive intervention for individuals with CLBP, with clinically relevant reductions in pain and improvements in physical function for some patients. However, substantial heterogeneity, small sample sizes in several trials, and low certainty of evidence for disability outcomes warrant cautious interpretation. Further high-quality, adequately powered RCTs with standardized TC protocols are needed to confirm these findings and to clarify the optimal style and training dose of TC for CLBP management</w:t>
      </w:r>
    </w:p>
    <w:p w14:paraId="60A3C1B0" w14:textId="77777777" w:rsidR="009A4AF6" w:rsidRDefault="009A4AF6" w:rsidP="00766964">
      <w:pPr>
        <w:spacing w:after="0"/>
        <w:rPr>
          <w:rFonts w:cs="Times New Roman"/>
          <w:szCs w:val="20"/>
        </w:rPr>
      </w:pPr>
    </w:p>
    <w:p w14:paraId="5B0761BF" w14:textId="29527983" w:rsidR="008F17FB" w:rsidRPr="0050043E" w:rsidRDefault="008F17FB" w:rsidP="0050043E">
      <w:pPr>
        <w:pStyle w:val="ListParagraph"/>
        <w:numPr>
          <w:ilvl w:val="0"/>
          <w:numId w:val="39"/>
        </w:numPr>
        <w:spacing w:after="0"/>
        <w:rPr>
          <w:rFonts w:cs="Times New Roman"/>
          <w:szCs w:val="20"/>
        </w:rPr>
      </w:pPr>
      <w:hyperlink r:id="rId25" w:tgtFrame="_blank" w:history="1">
        <w:r w:rsidRPr="0050043E">
          <w:rPr>
            <w:rStyle w:val="Hyperlink"/>
            <w:rFonts w:cs="Times New Roman"/>
            <w:szCs w:val="20"/>
          </w:rPr>
          <w:t>In water or on land? A network meta-analysis of aquatic and land-based exercise interventions for pain and disability in chronic lower back pain.</w:t>
        </w:r>
      </w:hyperlink>
      <w:r w:rsidRPr="0050043E">
        <w:rPr>
          <w:rFonts w:cs="Times New Roman"/>
          <w:szCs w:val="20"/>
        </w:rPr>
        <w:t xml:space="preserve"> </w:t>
      </w:r>
      <w:hyperlink r:id="rId26" w:history="1">
        <w:r w:rsidRPr="0050043E">
          <w:rPr>
            <w:rStyle w:val="Hyperlink"/>
            <w:rFonts w:cs="Times New Roman"/>
            <w:color w:val="EE0000"/>
            <w:szCs w:val="20"/>
          </w:rPr>
          <w:t>Free Full Text</w:t>
        </w:r>
      </w:hyperlink>
    </w:p>
    <w:p w14:paraId="453DD240" w14:textId="52565B70" w:rsidR="008F17FB" w:rsidRPr="008F17FB" w:rsidRDefault="008F17FB" w:rsidP="008F17FB">
      <w:pPr>
        <w:spacing w:after="0"/>
        <w:rPr>
          <w:rFonts w:cs="Times New Roman"/>
          <w:szCs w:val="20"/>
        </w:rPr>
      </w:pPr>
      <w:r w:rsidRPr="008F17FB">
        <w:rPr>
          <w:rFonts w:cs="Times New Roman"/>
          <w:szCs w:val="20"/>
        </w:rPr>
        <w:t>Wu H, Diao P, Del Coso J</w:t>
      </w:r>
      <w:r>
        <w:rPr>
          <w:rFonts w:cs="Times New Roman"/>
          <w:szCs w:val="20"/>
        </w:rPr>
        <w:t xml:space="preserve"> et al. </w:t>
      </w:r>
    </w:p>
    <w:p w14:paraId="6FB7B05F" w14:textId="1AF75021" w:rsidR="008F17FB" w:rsidRPr="008F17FB" w:rsidRDefault="008F17FB" w:rsidP="008F17FB">
      <w:pPr>
        <w:spacing w:after="0"/>
        <w:rPr>
          <w:rFonts w:cs="Times New Roman"/>
          <w:szCs w:val="20"/>
        </w:rPr>
      </w:pPr>
      <w:r w:rsidRPr="008F17FB">
        <w:rPr>
          <w:rFonts w:cs="Times New Roman"/>
          <w:szCs w:val="20"/>
        </w:rPr>
        <w:t xml:space="preserve">Front Med (Lausanne). 2026 Feb </w:t>
      </w:r>
      <w:proofErr w:type="gramStart"/>
      <w:r w:rsidRPr="008F17FB">
        <w:rPr>
          <w:rFonts w:cs="Times New Roman"/>
          <w:szCs w:val="20"/>
        </w:rPr>
        <w:t>2;13:1739263</w:t>
      </w:r>
      <w:proofErr w:type="gramEnd"/>
      <w:r w:rsidRPr="008F17FB">
        <w:rPr>
          <w:rFonts w:cs="Times New Roman"/>
          <w:szCs w:val="20"/>
        </w:rPr>
        <w:t>.</w:t>
      </w:r>
      <w:r w:rsidRPr="008F17FB">
        <w:rPr>
          <w:rFonts w:ascii="Arial" w:hAnsi="Arial" w:cs="Arial"/>
          <w:color w:val="4D8055"/>
          <w:sz w:val="27"/>
          <w:szCs w:val="27"/>
          <w:shd w:val="clear" w:color="auto" w:fill="FFFFFF"/>
        </w:rPr>
        <w:t xml:space="preserve"> </w:t>
      </w:r>
      <w:proofErr w:type="spellStart"/>
      <w:r w:rsidRPr="008F17FB">
        <w:rPr>
          <w:rFonts w:cs="Times New Roman"/>
          <w:szCs w:val="20"/>
        </w:rPr>
        <w:t>doi</w:t>
      </w:r>
      <w:proofErr w:type="spellEnd"/>
      <w:r w:rsidRPr="008F17FB">
        <w:rPr>
          <w:rFonts w:cs="Times New Roman"/>
          <w:szCs w:val="20"/>
        </w:rPr>
        <w:t>: 10.3389/fmed.2026.1739263.</w:t>
      </w:r>
    </w:p>
    <w:p w14:paraId="08E82556" w14:textId="193784F7" w:rsidR="008F17FB" w:rsidRPr="008F17FB" w:rsidRDefault="008F17FB" w:rsidP="008F17FB">
      <w:pPr>
        <w:spacing w:after="0"/>
        <w:rPr>
          <w:rFonts w:cs="Times New Roman"/>
          <w:szCs w:val="20"/>
        </w:rPr>
      </w:pPr>
      <w:r w:rsidRPr="008F17FB">
        <w:rPr>
          <w:rFonts w:cs="Times New Roman"/>
          <w:b/>
          <w:bCs/>
          <w:szCs w:val="20"/>
        </w:rPr>
        <w:t>Results: </w:t>
      </w:r>
      <w:r w:rsidRPr="008F17FB">
        <w:rPr>
          <w:rFonts w:cs="Times New Roman"/>
          <w:szCs w:val="20"/>
        </w:rPr>
        <w:t xml:space="preserve">We included 26 RCTs, forming a 9-node network (blank control, general care, land-based exercise, aquatic exercise, balneotherapy, and their combinations with general care/land-based exercise). </w:t>
      </w:r>
      <w:r>
        <w:rPr>
          <w:rFonts w:cs="Times New Roman"/>
          <w:szCs w:val="20"/>
        </w:rPr>
        <w:t xml:space="preserve">[…] </w:t>
      </w:r>
      <w:r w:rsidRPr="008F17FB">
        <w:rPr>
          <w:rFonts w:cs="Times New Roman"/>
          <w:szCs w:val="20"/>
        </w:rPr>
        <w:t>Given very high heterogeneity and low-to-very-low certainty for most comparisons, these findings should be interpreted as preliminary directional evidence rather than actionable treatment recommendations. Results suggest multimodal approaches warrant investigation in future rigorously conducted trials.</w:t>
      </w:r>
    </w:p>
    <w:p w14:paraId="4CED0864" w14:textId="77777777" w:rsidR="008F17FB" w:rsidRPr="008F17FB" w:rsidRDefault="008F17FB" w:rsidP="008F17FB">
      <w:pPr>
        <w:spacing w:after="0"/>
        <w:rPr>
          <w:rFonts w:cs="Times New Roman"/>
          <w:szCs w:val="20"/>
        </w:rPr>
      </w:pPr>
      <w:r w:rsidRPr="008F17FB">
        <w:rPr>
          <w:rFonts w:cs="Times New Roman"/>
          <w:b/>
          <w:bCs/>
          <w:szCs w:val="20"/>
        </w:rPr>
        <w:t>Conclusion: </w:t>
      </w:r>
      <w:r w:rsidRPr="008F17FB">
        <w:rPr>
          <w:rFonts w:cs="Times New Roman"/>
          <w:szCs w:val="20"/>
        </w:rPr>
        <w:t>In CLBP, multimodal programs that integrate hydrotherapeutic components with general care or exercise tended to provide greater improvements than single interventions for both pain and disability. Among single modalities, effects were outcome-specific: for pain, aquatic exercise performed best and land-based exercise generally exceeded balneotherapy; for disability, balneotherapy and aquatic exercise showed larger improvements than land-based exercise. Land-based exercise remains a beneficial and pragmatic option where aquatic access is limited, while adding general care to land-based exercise did not show a consistent additional benefit. This analysis is substantially limited by very high heterogeneity (</w:t>
      </w:r>
      <w:r w:rsidRPr="008F17FB">
        <w:rPr>
          <w:rFonts w:cs="Times New Roman"/>
          <w:i/>
          <w:iCs/>
          <w:szCs w:val="20"/>
        </w:rPr>
        <w:t>I</w:t>
      </w:r>
      <w:r w:rsidRPr="008F17FB">
        <w:rPr>
          <w:rFonts w:cs="Times New Roman"/>
          <w:szCs w:val="20"/>
        </w:rPr>
        <w:t> </w:t>
      </w:r>
      <w:r w:rsidRPr="008F17FB">
        <w:rPr>
          <w:rFonts w:cs="Times New Roman"/>
          <w:szCs w:val="20"/>
          <w:vertAlign w:val="superscript"/>
        </w:rPr>
        <w:t>2</w:t>
      </w:r>
      <w:r w:rsidRPr="008F17FB">
        <w:rPr>
          <w:rFonts w:cs="Times New Roman"/>
          <w:szCs w:val="20"/>
        </w:rPr>
        <w:t> &gt; 85%) and predominantly very low certainty evidence. Of the 36 comparisons assessed for pain intensity, 94.4% (34/36) were rated low to very low certainty; for disability, all 36 comparisons were rated very low certainty. These evidence quality profiles severely restrict ranking reliability and recommendation strength</w:t>
      </w:r>
    </w:p>
    <w:p w14:paraId="0D7E5878" w14:textId="77777777" w:rsidR="005E6DAE" w:rsidRPr="00496C59" w:rsidRDefault="005E6DAE" w:rsidP="005E6DAE">
      <w:pPr>
        <w:spacing w:after="0"/>
        <w:rPr>
          <w:rStyle w:val="Hyperlink"/>
          <w:rFonts w:cs="Times New Roman"/>
          <w:szCs w:val="20"/>
        </w:rPr>
      </w:pPr>
      <w:hyperlink w:anchor="content" w:history="1">
        <w:r w:rsidRPr="00496C59">
          <w:rPr>
            <w:rStyle w:val="Hyperlink"/>
            <w:rFonts w:cs="Times New Roman"/>
            <w:szCs w:val="20"/>
          </w:rPr>
          <w:t>Back to content</w:t>
        </w:r>
      </w:hyperlink>
    </w:p>
    <w:bookmarkEnd w:id="27"/>
    <w:p w14:paraId="735CC2AB" w14:textId="118B650B" w:rsidR="005D2ACA" w:rsidRPr="00496C59" w:rsidRDefault="005D2ACA" w:rsidP="00E80314">
      <w:pPr>
        <w:pStyle w:val="Heading3"/>
        <w:spacing w:before="240"/>
      </w:pPr>
      <w:r w:rsidRPr="00496C59">
        <w:t>Stroke</w:t>
      </w:r>
    </w:p>
    <w:p w14:paraId="60B801D3" w14:textId="77777777" w:rsidR="009A4AF6" w:rsidRPr="009A4AF6" w:rsidRDefault="009A4AF6" w:rsidP="009A4AF6">
      <w:pPr>
        <w:pStyle w:val="ListParagraph"/>
        <w:numPr>
          <w:ilvl w:val="0"/>
          <w:numId w:val="36"/>
        </w:numPr>
        <w:spacing w:after="0"/>
        <w:rPr>
          <w:lang w:val="en-GB"/>
        </w:rPr>
      </w:pPr>
      <w:hyperlink r:id="rId27" w:history="1">
        <w:r w:rsidRPr="009A4AF6">
          <w:rPr>
            <w:rStyle w:val="Hyperlink"/>
            <w:lang w:val="en-GB"/>
          </w:rPr>
          <w:t>Safety and Efficacy of Very Early Mobilization in Acute Stroke: A Systematic Review and Meta-analysis</w:t>
        </w:r>
      </w:hyperlink>
    </w:p>
    <w:p w14:paraId="0E2AF02B" w14:textId="77777777" w:rsidR="009A4AF6" w:rsidRPr="009A4AF6" w:rsidRDefault="009A4AF6" w:rsidP="009A4AF6">
      <w:pPr>
        <w:spacing w:after="0"/>
        <w:rPr>
          <w:lang w:val="en-GB"/>
        </w:rPr>
      </w:pPr>
      <w:r w:rsidRPr="009A4AF6">
        <w:rPr>
          <w:lang w:val="en-GB"/>
        </w:rPr>
        <w:t>Li X, Kong Y</w:t>
      </w:r>
    </w:p>
    <w:p w14:paraId="204C6668" w14:textId="77777777" w:rsidR="009A4AF6" w:rsidRPr="009A4AF6" w:rsidRDefault="009A4AF6" w:rsidP="009A4AF6">
      <w:pPr>
        <w:spacing w:after="0"/>
        <w:rPr>
          <w:lang w:val="en-GB"/>
        </w:rPr>
      </w:pPr>
      <w:r w:rsidRPr="009A4AF6">
        <w:rPr>
          <w:lang w:val="en-GB"/>
        </w:rPr>
        <w:t xml:space="preserve">Arch Phys Med </w:t>
      </w:r>
      <w:proofErr w:type="spellStart"/>
      <w:r w:rsidRPr="009A4AF6">
        <w:rPr>
          <w:lang w:val="en-GB"/>
        </w:rPr>
        <w:t>Rehabil</w:t>
      </w:r>
      <w:proofErr w:type="spellEnd"/>
      <w:r w:rsidRPr="009A4AF6">
        <w:rPr>
          <w:lang w:val="en-GB"/>
        </w:rPr>
        <w:t xml:space="preserve">. 2026 Feb;107(2):333-352. </w:t>
      </w:r>
      <w:proofErr w:type="spellStart"/>
      <w:r w:rsidRPr="009A4AF6">
        <w:rPr>
          <w:lang w:val="en-GB"/>
        </w:rPr>
        <w:t>doi</w:t>
      </w:r>
      <w:proofErr w:type="spellEnd"/>
      <w:r w:rsidRPr="009A4AF6">
        <w:rPr>
          <w:lang w:val="en-GB"/>
        </w:rPr>
        <w:t>: 10.1016/j.apmr.2025.10.021</w:t>
      </w:r>
    </w:p>
    <w:p w14:paraId="08C75F40" w14:textId="77777777" w:rsidR="009A4AF6" w:rsidRPr="009A4AF6" w:rsidRDefault="009A4AF6" w:rsidP="009A4AF6">
      <w:pPr>
        <w:spacing w:after="0"/>
        <w:rPr>
          <w:lang w:val="en-GB"/>
        </w:rPr>
      </w:pPr>
      <w:r w:rsidRPr="009A4AF6">
        <w:rPr>
          <w:b/>
          <w:bCs/>
          <w:lang w:val="en-GB"/>
        </w:rPr>
        <w:t xml:space="preserve">Data synthesis: </w:t>
      </w:r>
      <w:r w:rsidRPr="009A4AF6">
        <w:rPr>
          <w:lang w:val="en-GB"/>
        </w:rPr>
        <w:t xml:space="preserve">Twenty-three studies, including 84,936 patients in the VEM group and 32,753 in the standard care group, were </w:t>
      </w:r>
      <w:proofErr w:type="spellStart"/>
      <w:r w:rsidRPr="009A4AF6">
        <w:rPr>
          <w:lang w:val="en-GB"/>
        </w:rPr>
        <w:t>analyzed</w:t>
      </w:r>
      <w:proofErr w:type="spellEnd"/>
      <w:r w:rsidRPr="009A4AF6">
        <w:rPr>
          <w:lang w:val="en-GB"/>
        </w:rPr>
        <w:t>. VEM significantly improved functional independence, as measured by the Barthel Index (a validated scale for activities of daily living; standardized mean difference [SMD]=0.61; 95% CI, 0.25-0.98; P&lt;.01) and the modified Rankin Scale (</w:t>
      </w:r>
      <w:proofErr w:type="spellStart"/>
      <w:r w:rsidRPr="009A4AF6">
        <w:rPr>
          <w:lang w:val="en-GB"/>
        </w:rPr>
        <w:t>mRS</w:t>
      </w:r>
      <w:proofErr w:type="spellEnd"/>
      <w:r w:rsidRPr="009A4AF6">
        <w:rPr>
          <w:lang w:val="en-GB"/>
        </w:rPr>
        <w:t xml:space="preserve">; a disability scale, with scores of 0-2 indicating functional independence; risk ratio [RR]=1.14; 95% CI, 1.03-1.27). It also reduced the length of hospital stay (SMD=-2.53; 95% CI, -4.45 to -0.60; P&lt;.01), pulmonary infection (RR=0.75; 95% CI, 0.57-0.99; P=.04), and urinary tract infection (RR=0.76; 95% CI, </w:t>
      </w:r>
      <w:r w:rsidRPr="009A4AF6">
        <w:rPr>
          <w:lang w:val="en-GB"/>
        </w:rPr>
        <w:lastRenderedPageBreak/>
        <w:t>0.71-0.82; P&lt;.01). No significant effects were observed in National Institutes of Health Stroke Scale (a stroke severity scale) scores, mortality, deep vein thrombosis, neurologic deterioration, or falls.</w:t>
      </w:r>
    </w:p>
    <w:p w14:paraId="639DCBED" w14:textId="77777777" w:rsidR="009A4AF6" w:rsidRPr="009A4AF6" w:rsidRDefault="009A4AF6" w:rsidP="009A4AF6">
      <w:pPr>
        <w:spacing w:after="0"/>
        <w:rPr>
          <w:lang w:val="en-GB"/>
        </w:rPr>
      </w:pPr>
      <w:r w:rsidRPr="009A4AF6">
        <w:rPr>
          <w:b/>
          <w:bCs/>
          <w:lang w:val="en-GB"/>
        </w:rPr>
        <w:t xml:space="preserve">Conclusions: </w:t>
      </w:r>
      <w:r w:rsidRPr="009A4AF6">
        <w:rPr>
          <w:lang w:val="en-GB"/>
        </w:rPr>
        <w:t xml:space="preserve">VEM is safe and effective in enhancing functional recovery, reducing complications, and shortening hospitalization after acute stroke. Further </w:t>
      </w:r>
      <w:proofErr w:type="gramStart"/>
      <w:r w:rsidRPr="009A4AF6">
        <w:rPr>
          <w:lang w:val="en-GB"/>
        </w:rPr>
        <w:t>high quality</w:t>
      </w:r>
      <w:proofErr w:type="gramEnd"/>
      <w:r w:rsidRPr="009A4AF6">
        <w:rPr>
          <w:lang w:val="en-GB"/>
        </w:rPr>
        <w:t xml:space="preserve"> studies are needed to optimize timing and dosage of mobilization, particularly considering stroke severity and subtype.</w:t>
      </w:r>
    </w:p>
    <w:p w14:paraId="37A52D59" w14:textId="77777777" w:rsidR="009A4AF6" w:rsidRPr="009A4AF6" w:rsidRDefault="009A4AF6" w:rsidP="009A4AF6">
      <w:pPr>
        <w:spacing w:after="0"/>
        <w:rPr>
          <w:b/>
          <w:bCs/>
          <w:lang w:val="en-GB"/>
        </w:rPr>
      </w:pPr>
    </w:p>
    <w:p w14:paraId="56C97889" w14:textId="77777777" w:rsidR="009A4AF6" w:rsidRPr="009A4AF6" w:rsidRDefault="009A4AF6" w:rsidP="009A4AF6">
      <w:pPr>
        <w:pStyle w:val="ListParagraph"/>
        <w:numPr>
          <w:ilvl w:val="0"/>
          <w:numId w:val="36"/>
        </w:numPr>
        <w:spacing w:after="0"/>
        <w:rPr>
          <w:lang w:val="en-GB"/>
        </w:rPr>
      </w:pPr>
      <w:hyperlink r:id="rId28" w:history="1">
        <w:r w:rsidRPr="009A4AF6">
          <w:rPr>
            <w:rStyle w:val="Hyperlink"/>
            <w:lang w:val="en-GB"/>
          </w:rPr>
          <w:t>The mechanism of electroacupuncture treatment for post-stroke spasticity: A systematic review and Meta-analysis</w:t>
        </w:r>
      </w:hyperlink>
      <w:r w:rsidRPr="009A4AF6">
        <w:rPr>
          <w:lang w:val="en-GB"/>
        </w:rPr>
        <w:t xml:space="preserve"> </w:t>
      </w:r>
      <w:hyperlink r:id="rId29" w:history="1">
        <w:r w:rsidRPr="004B392D">
          <w:rPr>
            <w:rStyle w:val="Hyperlink"/>
            <w:lang w:val="en-GB"/>
          </w:rPr>
          <w:t>Free Full-text Article</w:t>
        </w:r>
      </w:hyperlink>
    </w:p>
    <w:p w14:paraId="0A220B5F" w14:textId="77777777" w:rsidR="009A4AF6" w:rsidRPr="009A4AF6" w:rsidRDefault="009A4AF6" w:rsidP="009A4AF6">
      <w:pPr>
        <w:spacing w:after="0"/>
        <w:rPr>
          <w:lang w:val="en-GB"/>
        </w:rPr>
      </w:pPr>
      <w:r w:rsidRPr="009A4AF6">
        <w:rPr>
          <w:lang w:val="en-GB"/>
        </w:rPr>
        <w:t>You L, Hu M, Li J et. al.</w:t>
      </w:r>
    </w:p>
    <w:p w14:paraId="571AE8B1" w14:textId="77777777" w:rsidR="009A4AF6" w:rsidRPr="009A4AF6" w:rsidRDefault="009A4AF6" w:rsidP="009A4AF6">
      <w:pPr>
        <w:spacing w:after="0"/>
        <w:rPr>
          <w:lang w:val="en-GB"/>
        </w:rPr>
      </w:pPr>
      <w:proofErr w:type="spellStart"/>
      <w:r w:rsidRPr="009A4AF6">
        <w:rPr>
          <w:lang w:val="en-GB"/>
        </w:rPr>
        <w:t>Behav</w:t>
      </w:r>
      <w:proofErr w:type="spellEnd"/>
      <w:r w:rsidRPr="009A4AF6">
        <w:rPr>
          <w:lang w:val="en-GB"/>
        </w:rPr>
        <w:t xml:space="preserve"> Brain Res. 2026 Feb </w:t>
      </w:r>
      <w:proofErr w:type="gramStart"/>
      <w:r w:rsidRPr="009A4AF6">
        <w:rPr>
          <w:lang w:val="en-GB"/>
        </w:rPr>
        <w:t>4;497:115873</w:t>
      </w:r>
      <w:proofErr w:type="gramEnd"/>
      <w:r w:rsidRPr="009A4AF6">
        <w:rPr>
          <w:lang w:val="en-GB"/>
        </w:rPr>
        <w:t xml:space="preserve">. </w:t>
      </w:r>
      <w:proofErr w:type="spellStart"/>
      <w:r w:rsidRPr="009A4AF6">
        <w:rPr>
          <w:lang w:val="en-GB"/>
        </w:rPr>
        <w:t>doi</w:t>
      </w:r>
      <w:proofErr w:type="spellEnd"/>
      <w:r w:rsidRPr="009A4AF6">
        <w:rPr>
          <w:lang w:val="en-GB"/>
        </w:rPr>
        <w:t>: 10.1016/j.bbr.2025.115873</w:t>
      </w:r>
    </w:p>
    <w:p w14:paraId="2D133BB4" w14:textId="77777777" w:rsidR="009A4AF6" w:rsidRPr="009A4AF6" w:rsidRDefault="009A4AF6" w:rsidP="009A4AF6">
      <w:pPr>
        <w:spacing w:after="0"/>
        <w:rPr>
          <w:lang w:val="en-GB"/>
        </w:rPr>
      </w:pPr>
      <w:r w:rsidRPr="009A4AF6">
        <w:rPr>
          <w:b/>
          <w:bCs/>
          <w:lang w:val="en-GB"/>
        </w:rPr>
        <w:t>Results</w:t>
      </w:r>
      <w:r w:rsidRPr="009A4AF6">
        <w:rPr>
          <w:lang w:val="en-GB"/>
        </w:rPr>
        <w:t xml:space="preserve">: Twenty studies involving 388 animals were included, with quality scores ranging from 4 to 8 (mean: 6.1). Zea Longa and Modified Ashworth Scale (MAS) were selected as primary outcomes, while secondary outcomes included </w:t>
      </w:r>
      <w:proofErr w:type="spellStart"/>
      <w:r w:rsidRPr="009A4AF6">
        <w:rPr>
          <w:lang w:val="en-GB"/>
        </w:rPr>
        <w:t>Bederson</w:t>
      </w:r>
      <w:proofErr w:type="spellEnd"/>
      <w:r w:rsidRPr="009A4AF6">
        <w:rPr>
          <w:lang w:val="en-GB"/>
        </w:rPr>
        <w:t xml:space="preserve"> score, electrophysiological tracing, balance beam walking, cerebral water content, cerebral infarction degree, Interleukin-6 (IL-6), </w:t>
      </w:r>
      <w:proofErr w:type="spellStart"/>
      <w:r w:rsidRPr="009A4AF6">
        <w:rPr>
          <w:lang w:val="en-GB"/>
        </w:rPr>
        <w:t>tumor</w:t>
      </w:r>
      <w:proofErr w:type="spellEnd"/>
      <w:r w:rsidRPr="009A4AF6">
        <w:rPr>
          <w:lang w:val="en-GB"/>
        </w:rPr>
        <w:t xml:space="preserve"> necrosis factor-α (TNF-α), malondialdehyde (MDA), gamma-aminobutyric acid (GABA), glutamate (Glu), gamma-aminobutyric acid transaminase (GABA-T), glutamate decarboxylase 67 (GAD67), brain-derived neurotrophic factor (BDNF), tropomyosin receptor kinase B (</w:t>
      </w:r>
      <w:proofErr w:type="spellStart"/>
      <w:r w:rsidRPr="009A4AF6">
        <w:rPr>
          <w:lang w:val="en-GB"/>
        </w:rPr>
        <w:t>TrkB</w:t>
      </w:r>
      <w:proofErr w:type="spellEnd"/>
      <w:r w:rsidRPr="009A4AF6">
        <w:rPr>
          <w:lang w:val="en-GB"/>
        </w:rPr>
        <w:t xml:space="preserve">), BDNF messenger RNA (BDNF mRNA), </w:t>
      </w:r>
      <w:proofErr w:type="spellStart"/>
      <w:r w:rsidRPr="009A4AF6">
        <w:rPr>
          <w:lang w:val="en-GB"/>
        </w:rPr>
        <w:t>TrkB</w:t>
      </w:r>
      <w:proofErr w:type="spellEnd"/>
      <w:r w:rsidRPr="009A4AF6">
        <w:rPr>
          <w:lang w:val="en-GB"/>
        </w:rPr>
        <w:t xml:space="preserve"> messenger RNA (</w:t>
      </w:r>
      <w:proofErr w:type="spellStart"/>
      <w:r w:rsidRPr="009A4AF6">
        <w:rPr>
          <w:lang w:val="en-GB"/>
        </w:rPr>
        <w:t>TrkB</w:t>
      </w:r>
      <w:proofErr w:type="spellEnd"/>
      <w:r w:rsidRPr="009A4AF6">
        <w:rPr>
          <w:lang w:val="en-GB"/>
        </w:rPr>
        <w:t xml:space="preserve"> mRNA), glutathione (GSH), solute carrier family 7 member 11 (SLC7A11), glutathione peroxidase 4 (GPX4), SLC7A11 messenger RNA (SLC7A11 mRNA), and GPX4 messenger RNA (GPX4 mRNA).Meta-analysis demonstrated significant improvements in primary outcomes: Zea Longa score [MD = -1.05, 95 % CI (-1.30, -0.80), P &lt; 0.001]</w:t>
      </w:r>
      <w:r w:rsidRPr="009A4AF6">
        <w:rPr>
          <w:rFonts w:ascii="MS Gothic" w:eastAsia="MS Gothic" w:hAnsi="MS Gothic" w:cs="MS Gothic" w:hint="eastAsia"/>
          <w:lang w:val="en-GB"/>
        </w:rPr>
        <w:t>，</w:t>
      </w:r>
      <w:r w:rsidRPr="009A4AF6">
        <w:rPr>
          <w:lang w:val="en-GB"/>
        </w:rPr>
        <w:t xml:space="preserve">MAS score: [MD = -1.06, 95 % CI (-1.43, -0.69), P &lt; 0.001]. EA therapy demonstrated significant efficacy in enhancing neurological recovery, alleviating limb spasticity, and improving postural balance. Furthermore, it effectively reduced cerebral infarct volume, mitigated cerebral </w:t>
      </w:r>
      <w:proofErr w:type="spellStart"/>
      <w:r w:rsidRPr="009A4AF6">
        <w:rPr>
          <w:lang w:val="en-GB"/>
        </w:rPr>
        <w:t>edema</w:t>
      </w:r>
      <w:proofErr w:type="spellEnd"/>
      <w:r w:rsidRPr="009A4AF6">
        <w:rPr>
          <w:lang w:val="en-GB"/>
        </w:rPr>
        <w:t xml:space="preserve"> severity, and modulated biochemical markers by decreasing serum levels of IL-6, TNF-α, MDA, Glu, and GABA-T (P &lt; 0.05). Concurrently, therapeutic intervention upregulated multiple neuroprotective indicators including GSH, GABA, SLC7A11 mRNA, GPX4 (with its mRNA expression), GAD67, BDNF, </w:t>
      </w:r>
      <w:proofErr w:type="spellStart"/>
      <w:r w:rsidRPr="009A4AF6">
        <w:rPr>
          <w:lang w:val="en-GB"/>
        </w:rPr>
        <w:t>TrkB</w:t>
      </w:r>
      <w:proofErr w:type="spellEnd"/>
      <w:r w:rsidRPr="009A4AF6">
        <w:rPr>
          <w:lang w:val="en-GB"/>
        </w:rPr>
        <w:t xml:space="preserve"> (and its mRNA), along with enhancing GPX4 activity (P &lt; 0.05). Heterogeneity analysis revealed publication bias in MAS assessments, while heterogeneity in intervention protocols (waveform parameters, acupoint selection, or treatment duration) potentially contributed to elevated heterogeneity across other outcome measures.</w:t>
      </w:r>
    </w:p>
    <w:p w14:paraId="55E63D82" w14:textId="77777777" w:rsidR="009A4AF6" w:rsidRPr="009A4AF6" w:rsidRDefault="009A4AF6" w:rsidP="009A4AF6">
      <w:pPr>
        <w:spacing w:after="0"/>
        <w:rPr>
          <w:lang w:val="en-GB"/>
        </w:rPr>
      </w:pPr>
      <w:r w:rsidRPr="009A4AF6">
        <w:rPr>
          <w:b/>
          <w:bCs/>
          <w:lang w:val="en-GB"/>
        </w:rPr>
        <w:t>Conclusion</w:t>
      </w:r>
      <w:r w:rsidRPr="009A4AF6">
        <w:rPr>
          <w:lang w:val="en-GB"/>
        </w:rPr>
        <w:t>: EA modulates neurotransmitter levels and associated enzymatic, while concurrently suppressing microglia-mediated neuroinflammatory responses. This intervention mitigates oxidative stress byproducts, maintains tissue redox homeostasis, and enhances synaptic plasticity while promoting neuronal development. Collectively, our findings underscore EA's therapeutic potential in PSS management, necessitating further mechanistic investigations and optimization of clinical protocols.</w:t>
      </w:r>
    </w:p>
    <w:p w14:paraId="7CD28B40" w14:textId="77777777" w:rsidR="009A4AF6" w:rsidRPr="009A4AF6" w:rsidRDefault="009A4AF6" w:rsidP="009A4AF6">
      <w:pPr>
        <w:spacing w:after="0"/>
        <w:rPr>
          <w:lang w:val="en-GB"/>
        </w:rPr>
      </w:pPr>
    </w:p>
    <w:p w14:paraId="34350D16" w14:textId="77777777" w:rsidR="009A4AF6" w:rsidRPr="009A4AF6" w:rsidRDefault="009A4AF6" w:rsidP="009A4AF6">
      <w:pPr>
        <w:pStyle w:val="ListParagraph"/>
        <w:numPr>
          <w:ilvl w:val="0"/>
          <w:numId w:val="36"/>
        </w:numPr>
        <w:spacing w:after="0"/>
        <w:rPr>
          <w:lang w:val="en-GB"/>
        </w:rPr>
      </w:pPr>
      <w:hyperlink r:id="rId30" w:history="1">
        <w:r w:rsidRPr="009A4AF6">
          <w:rPr>
            <w:rStyle w:val="Hyperlink"/>
            <w:lang w:val="en-GB"/>
          </w:rPr>
          <w:t>Impaired motor control during post-stroke walking: A systematic review and meta-analysis of muscle synergies across different phases of recovery</w:t>
        </w:r>
      </w:hyperlink>
    </w:p>
    <w:p w14:paraId="7243E220" w14:textId="77777777" w:rsidR="009A4AF6" w:rsidRPr="009A4AF6" w:rsidRDefault="009A4AF6" w:rsidP="009A4AF6">
      <w:pPr>
        <w:spacing w:after="0"/>
        <w:rPr>
          <w:lang w:val="en-GB"/>
        </w:rPr>
      </w:pPr>
      <w:r w:rsidRPr="009A4AF6">
        <w:rPr>
          <w:lang w:val="en-GB"/>
        </w:rPr>
        <w:t xml:space="preserve">Defour A, Dominici N, </w:t>
      </w:r>
      <w:proofErr w:type="spellStart"/>
      <w:r w:rsidRPr="009A4AF6">
        <w:rPr>
          <w:lang w:val="en-GB"/>
        </w:rPr>
        <w:t>Swinnen</w:t>
      </w:r>
      <w:proofErr w:type="spellEnd"/>
      <w:r w:rsidRPr="009A4AF6">
        <w:rPr>
          <w:lang w:val="en-GB"/>
        </w:rPr>
        <w:t xml:space="preserve"> E, et al.</w:t>
      </w:r>
    </w:p>
    <w:p w14:paraId="3146DD5D" w14:textId="77777777" w:rsidR="009A4AF6" w:rsidRPr="009A4AF6" w:rsidRDefault="009A4AF6" w:rsidP="009A4AF6">
      <w:pPr>
        <w:spacing w:after="0"/>
        <w:rPr>
          <w:lang w:val="en-GB"/>
        </w:rPr>
      </w:pPr>
      <w:r w:rsidRPr="009A4AF6">
        <w:rPr>
          <w:lang w:val="en-GB"/>
        </w:rPr>
        <w:t xml:space="preserve">Gait Posture. 2026 </w:t>
      </w:r>
      <w:proofErr w:type="gramStart"/>
      <w:r w:rsidRPr="009A4AF6">
        <w:rPr>
          <w:lang w:val="en-GB"/>
        </w:rPr>
        <w:t>Feb;124:109978</w:t>
      </w:r>
      <w:proofErr w:type="gramEnd"/>
      <w:r w:rsidRPr="009A4AF6">
        <w:rPr>
          <w:lang w:val="en-GB"/>
        </w:rPr>
        <w:t xml:space="preserve">. </w:t>
      </w:r>
      <w:proofErr w:type="spellStart"/>
      <w:r w:rsidRPr="009A4AF6">
        <w:rPr>
          <w:lang w:val="en-GB"/>
        </w:rPr>
        <w:t>doi</w:t>
      </w:r>
      <w:proofErr w:type="spellEnd"/>
      <w:r w:rsidRPr="009A4AF6">
        <w:rPr>
          <w:lang w:val="en-GB"/>
        </w:rPr>
        <w:t>: 10.1016/j.gaitpost.2025.109978.</w:t>
      </w:r>
    </w:p>
    <w:p w14:paraId="06A6F674" w14:textId="77777777" w:rsidR="009A4AF6" w:rsidRPr="009A4AF6" w:rsidRDefault="009A4AF6" w:rsidP="009A4AF6">
      <w:pPr>
        <w:spacing w:after="0"/>
        <w:rPr>
          <w:b/>
          <w:bCs/>
          <w:lang w:val="en-GB"/>
        </w:rPr>
      </w:pPr>
    </w:p>
    <w:p w14:paraId="4E49866C" w14:textId="77777777" w:rsidR="009A4AF6" w:rsidRPr="009A4AF6" w:rsidRDefault="009A4AF6" w:rsidP="009A4AF6">
      <w:pPr>
        <w:spacing w:after="0"/>
        <w:rPr>
          <w:lang w:val="en-GB"/>
        </w:rPr>
      </w:pPr>
      <w:r w:rsidRPr="009A4AF6">
        <w:rPr>
          <w:b/>
          <w:bCs/>
          <w:lang w:val="en-GB"/>
        </w:rPr>
        <w:t>Results</w:t>
      </w:r>
      <w:r w:rsidRPr="009A4AF6">
        <w:rPr>
          <w:lang w:val="en-GB"/>
        </w:rPr>
        <w:t xml:space="preserve">: Twenty-four studies (624 </w:t>
      </w:r>
      <w:proofErr w:type="gramStart"/>
      <w:r w:rsidRPr="009A4AF6">
        <w:rPr>
          <w:lang w:val="en-GB"/>
        </w:rPr>
        <w:t>individuals</w:t>
      </w:r>
      <w:proofErr w:type="gramEnd"/>
      <w:r w:rsidRPr="009A4AF6">
        <w:rPr>
          <w:lang w:val="en-GB"/>
        </w:rPr>
        <w:t xml:space="preserve"> post-stroke) were included. The paretic leg showed significant fewer synergies than the non-paretic leg (SMD: -0.73; p &lt; 0.00001) and healthy controls (SMD: -1.04; p &lt; 0.00001). Additionally, the non-paretic leg revealed a small but statistically significant reduction in synergies compared to healthy controls (SMD: -0.40; p = 0.02). The number of synergies in the paretic leg strongly correlated with lower extremity motor function (r = 0.827; p &lt; 0.001). Fewer synergies were more prevalent in the sub-acute than chronic phase (χ² = 15.611; p &lt; 0.001). Synergy composition showed increased co-activation and prolonged activation timing.</w:t>
      </w:r>
    </w:p>
    <w:p w14:paraId="75B6C59B" w14:textId="77777777" w:rsidR="009A4AF6" w:rsidRPr="009A4AF6" w:rsidRDefault="009A4AF6" w:rsidP="009A4AF6">
      <w:pPr>
        <w:spacing w:after="0"/>
        <w:rPr>
          <w:lang w:val="en-GB"/>
        </w:rPr>
      </w:pPr>
      <w:r w:rsidRPr="009A4AF6">
        <w:rPr>
          <w:b/>
          <w:bCs/>
          <w:lang w:val="en-GB"/>
        </w:rPr>
        <w:t>Conclusion</w:t>
      </w:r>
      <w:r w:rsidRPr="009A4AF6">
        <w:rPr>
          <w:lang w:val="en-GB"/>
        </w:rPr>
        <w:t>: Stroke leads to fewer and less distinct muscle synergies during walking in the paretic leg, especially in the sub-acute phase and in persons with severe lower extremity motor impairments.</w:t>
      </w:r>
    </w:p>
    <w:p w14:paraId="7FC7CC7B" w14:textId="77777777" w:rsidR="009A4AF6" w:rsidRPr="009A4AF6" w:rsidRDefault="009A4AF6" w:rsidP="009A4AF6">
      <w:pPr>
        <w:spacing w:after="0"/>
        <w:rPr>
          <w:lang w:val="en-GB"/>
        </w:rPr>
      </w:pPr>
    </w:p>
    <w:p w14:paraId="2EFC9095" w14:textId="77777777" w:rsidR="009A4AF6" w:rsidRPr="009A4AF6" w:rsidRDefault="009A4AF6" w:rsidP="009A4AF6">
      <w:pPr>
        <w:pStyle w:val="ListParagraph"/>
        <w:numPr>
          <w:ilvl w:val="0"/>
          <w:numId w:val="36"/>
        </w:numPr>
        <w:spacing w:after="0"/>
        <w:rPr>
          <w:lang w:val="en-GB"/>
        </w:rPr>
      </w:pPr>
      <w:hyperlink r:id="rId31" w:history="1">
        <w:r w:rsidRPr="009A4AF6">
          <w:rPr>
            <w:rStyle w:val="Hyperlink"/>
            <w:lang w:val="en-GB"/>
          </w:rPr>
          <w:t>Theta burst stimulation effectively improves post-stroke aphasia: A systematic review and meta-analysis of randomized controlled trials</w:t>
        </w:r>
      </w:hyperlink>
    </w:p>
    <w:p w14:paraId="2A436E62" w14:textId="77777777" w:rsidR="009A4AF6" w:rsidRPr="009A4AF6" w:rsidRDefault="009A4AF6" w:rsidP="009A4AF6">
      <w:pPr>
        <w:spacing w:after="0"/>
        <w:rPr>
          <w:lang w:val="en-GB"/>
        </w:rPr>
      </w:pPr>
      <w:r w:rsidRPr="009A4AF6">
        <w:rPr>
          <w:lang w:val="en-GB"/>
        </w:rPr>
        <w:t>Zhang K, Zhao Y, Hu Q et. al.</w:t>
      </w:r>
    </w:p>
    <w:p w14:paraId="77EE7FAA" w14:textId="77777777" w:rsidR="009A4AF6" w:rsidRPr="009A4AF6" w:rsidRDefault="009A4AF6" w:rsidP="009A4AF6">
      <w:pPr>
        <w:spacing w:after="0"/>
        <w:rPr>
          <w:lang w:val="en-GB"/>
        </w:rPr>
      </w:pPr>
      <w:r w:rsidRPr="009A4AF6">
        <w:rPr>
          <w:lang w:val="en-GB"/>
        </w:rPr>
        <w:t xml:space="preserve">J Clin Neurosci. 2026 </w:t>
      </w:r>
      <w:proofErr w:type="gramStart"/>
      <w:r w:rsidRPr="009A4AF6">
        <w:rPr>
          <w:lang w:val="en-GB"/>
        </w:rPr>
        <w:t>Feb;144:111793</w:t>
      </w:r>
      <w:proofErr w:type="gramEnd"/>
      <w:r w:rsidRPr="009A4AF6">
        <w:rPr>
          <w:lang w:val="en-GB"/>
        </w:rPr>
        <w:t xml:space="preserve">. </w:t>
      </w:r>
      <w:proofErr w:type="spellStart"/>
      <w:r w:rsidRPr="009A4AF6">
        <w:rPr>
          <w:lang w:val="en-GB"/>
        </w:rPr>
        <w:t>doi</w:t>
      </w:r>
      <w:proofErr w:type="spellEnd"/>
      <w:r w:rsidRPr="009A4AF6">
        <w:rPr>
          <w:lang w:val="en-GB"/>
        </w:rPr>
        <w:t>: 10.1016/j.jocn.2025.111793</w:t>
      </w:r>
    </w:p>
    <w:p w14:paraId="13A48356" w14:textId="77777777" w:rsidR="009A4AF6" w:rsidRPr="009A4AF6" w:rsidRDefault="009A4AF6" w:rsidP="009A4AF6">
      <w:pPr>
        <w:spacing w:after="0"/>
        <w:rPr>
          <w:lang w:val="en-GB"/>
        </w:rPr>
      </w:pPr>
      <w:r w:rsidRPr="009A4AF6">
        <w:rPr>
          <w:b/>
          <w:bCs/>
          <w:lang w:val="en-GB"/>
        </w:rPr>
        <w:lastRenderedPageBreak/>
        <w:t>Results</w:t>
      </w:r>
      <w:r w:rsidRPr="009A4AF6">
        <w:rPr>
          <w:lang w:val="en-GB"/>
        </w:rPr>
        <w:t xml:space="preserve">: TBS significantly improved overall speech function (SMD = 0.97, 95 % CI: 0.51-1.43, P &lt; 0.001), particularly effective in enhancing naming, auditory comprehension, repetition, and spontaneous speech abilities. Selecting stimulation of Broca's area, the </w:t>
      </w:r>
      <w:proofErr w:type="spellStart"/>
      <w:r w:rsidRPr="009A4AF6">
        <w:rPr>
          <w:lang w:val="en-GB"/>
        </w:rPr>
        <w:t>iTBS</w:t>
      </w:r>
      <w:proofErr w:type="spellEnd"/>
      <w:r w:rsidRPr="009A4AF6">
        <w:rPr>
          <w:lang w:val="en-GB"/>
        </w:rPr>
        <w:t xml:space="preserve"> protocol, early-stage (acute/subacute) patients, and multiple interventions (≥10 sessions) can significantly improve PSA. However, given the high degree of heterogeneity, caution should be exercised when interpreting our findings.</w:t>
      </w:r>
    </w:p>
    <w:p w14:paraId="294F4758" w14:textId="77777777" w:rsidR="009A4AF6" w:rsidRPr="009A4AF6" w:rsidRDefault="009A4AF6" w:rsidP="009A4AF6">
      <w:pPr>
        <w:spacing w:after="0"/>
        <w:rPr>
          <w:lang w:val="en-GB"/>
        </w:rPr>
      </w:pPr>
      <w:r w:rsidRPr="009A4AF6">
        <w:rPr>
          <w:b/>
          <w:bCs/>
          <w:lang w:val="en-GB"/>
        </w:rPr>
        <w:t>Conclusion</w:t>
      </w:r>
      <w:r w:rsidRPr="009A4AF6">
        <w:rPr>
          <w:lang w:val="en-GB"/>
        </w:rPr>
        <w:t>: These findings suggest that TBS may represent a promising adjunct to conventional speech rehabilitation for patients with PSA.</w:t>
      </w:r>
    </w:p>
    <w:p w14:paraId="6170D149" w14:textId="77777777" w:rsidR="009A4AF6" w:rsidRPr="009A4AF6" w:rsidRDefault="009A4AF6" w:rsidP="009A4AF6">
      <w:pPr>
        <w:spacing w:after="0"/>
        <w:rPr>
          <w:lang w:val="en-GB"/>
        </w:rPr>
      </w:pPr>
    </w:p>
    <w:p w14:paraId="4019C0F3" w14:textId="77777777" w:rsidR="009A4AF6" w:rsidRPr="009A4AF6" w:rsidRDefault="009A4AF6" w:rsidP="009A4AF6">
      <w:pPr>
        <w:pStyle w:val="ListParagraph"/>
        <w:numPr>
          <w:ilvl w:val="0"/>
          <w:numId w:val="36"/>
        </w:numPr>
        <w:spacing w:after="0"/>
        <w:rPr>
          <w:lang w:val="en-GB"/>
        </w:rPr>
      </w:pPr>
      <w:hyperlink r:id="rId32" w:history="1">
        <w:r w:rsidRPr="009A4AF6">
          <w:rPr>
            <w:rStyle w:val="Hyperlink"/>
            <w:lang w:val="en-GB"/>
          </w:rPr>
          <w:t>Brain-computer interfaces in poststroke rehabilitation: a meta-analysis of randomized clinical trials</w:t>
        </w:r>
      </w:hyperlink>
      <w:r w:rsidRPr="009A4AF6">
        <w:rPr>
          <w:lang w:val="en-GB"/>
        </w:rPr>
        <w:t xml:space="preserve"> </w:t>
      </w:r>
      <w:hyperlink r:id="rId33" w:history="1">
        <w:r w:rsidRPr="009A4AF6">
          <w:rPr>
            <w:rStyle w:val="Hyperlink"/>
            <w:lang w:val="en-GB"/>
          </w:rPr>
          <w:t>Free Full-text Article</w:t>
        </w:r>
      </w:hyperlink>
    </w:p>
    <w:p w14:paraId="370C058A" w14:textId="77777777" w:rsidR="009A4AF6" w:rsidRPr="009A4AF6" w:rsidRDefault="009A4AF6" w:rsidP="009A4AF6">
      <w:pPr>
        <w:spacing w:after="0"/>
        <w:rPr>
          <w:lang w:val="en-GB"/>
        </w:rPr>
      </w:pPr>
      <w:proofErr w:type="spellStart"/>
      <w:r w:rsidRPr="009A4AF6">
        <w:rPr>
          <w:lang w:val="en-GB"/>
        </w:rPr>
        <w:t>Mortezaei</w:t>
      </w:r>
      <w:proofErr w:type="spellEnd"/>
      <w:r w:rsidRPr="009A4AF6">
        <w:rPr>
          <w:lang w:val="en-GB"/>
        </w:rPr>
        <w:t xml:space="preserve"> A, Al-Saidi N, </w:t>
      </w:r>
      <w:proofErr w:type="spellStart"/>
      <w:r w:rsidRPr="009A4AF6">
        <w:rPr>
          <w:lang w:val="en-GB"/>
        </w:rPr>
        <w:t>Taghlabi</w:t>
      </w:r>
      <w:proofErr w:type="spellEnd"/>
      <w:r w:rsidRPr="009A4AF6">
        <w:rPr>
          <w:lang w:val="en-GB"/>
        </w:rPr>
        <w:t xml:space="preserve"> KM et. al.</w:t>
      </w:r>
    </w:p>
    <w:p w14:paraId="633D621C" w14:textId="77777777" w:rsidR="009A4AF6" w:rsidRPr="009A4AF6" w:rsidRDefault="009A4AF6" w:rsidP="009A4AF6">
      <w:pPr>
        <w:spacing w:after="0"/>
        <w:rPr>
          <w:lang w:val="en-GB"/>
        </w:rPr>
      </w:pPr>
      <w:proofErr w:type="spellStart"/>
      <w:r w:rsidRPr="009A4AF6">
        <w:rPr>
          <w:lang w:val="en-GB"/>
        </w:rPr>
        <w:t>Neurosurg</w:t>
      </w:r>
      <w:proofErr w:type="spellEnd"/>
      <w:r w:rsidRPr="009A4AF6">
        <w:rPr>
          <w:lang w:val="en-GB"/>
        </w:rPr>
        <w:t xml:space="preserve"> Focus. 2026 Feb 1;60(2</w:t>
      </w:r>
      <w:proofErr w:type="gramStart"/>
      <w:r w:rsidRPr="009A4AF6">
        <w:rPr>
          <w:lang w:val="en-GB"/>
        </w:rPr>
        <w:t>):E</w:t>
      </w:r>
      <w:proofErr w:type="gramEnd"/>
      <w:r w:rsidRPr="009A4AF6">
        <w:rPr>
          <w:lang w:val="en-GB"/>
        </w:rPr>
        <w:t xml:space="preserve">7. </w:t>
      </w:r>
      <w:proofErr w:type="spellStart"/>
      <w:r w:rsidRPr="009A4AF6">
        <w:rPr>
          <w:lang w:val="en-GB"/>
        </w:rPr>
        <w:t>doi</w:t>
      </w:r>
      <w:proofErr w:type="spellEnd"/>
      <w:r w:rsidRPr="009A4AF6">
        <w:rPr>
          <w:lang w:val="en-GB"/>
        </w:rPr>
        <w:t>: 10.3171/2025.</w:t>
      </w:r>
      <w:proofErr w:type="gramStart"/>
      <w:r w:rsidRPr="009A4AF6">
        <w:rPr>
          <w:lang w:val="en-GB"/>
        </w:rPr>
        <w:t>11.FOCUS</w:t>
      </w:r>
      <w:proofErr w:type="gramEnd"/>
      <w:r w:rsidRPr="009A4AF6">
        <w:rPr>
          <w:lang w:val="en-GB"/>
        </w:rPr>
        <w:t>25913</w:t>
      </w:r>
    </w:p>
    <w:p w14:paraId="5804B40A" w14:textId="77777777" w:rsidR="009A4AF6" w:rsidRPr="009A4AF6" w:rsidRDefault="009A4AF6" w:rsidP="009A4AF6">
      <w:pPr>
        <w:spacing w:after="0"/>
        <w:rPr>
          <w:lang w:val="en-GB"/>
        </w:rPr>
      </w:pPr>
      <w:r w:rsidRPr="009A4AF6">
        <w:rPr>
          <w:b/>
          <w:bCs/>
          <w:lang w:val="en-GB"/>
        </w:rPr>
        <w:t>Results</w:t>
      </w:r>
      <w:r w:rsidRPr="009A4AF6">
        <w:rPr>
          <w:lang w:val="en-GB"/>
        </w:rPr>
        <w:t>: Thirty-two RCTs comprising 1187 patients were included with no heterogeneity or significant imbalances in baseline characteristics across groups. A BCI was significantly superior in FMA-UE score improvement compared with controls (MD 3.85, 95% CI 2.84-4.86; p &lt; 0.01), with benefits sustained at follow-up. Within-group analyses revealed greater improvement in the BCI arm from follow-up to baseline (MD 8.18, 95% CI 5.77-10.60; p &lt; 0.01). A BCI was also associated with higher ARAT (MD 7.18, 95% CI 2.4-12.0; p &lt; 0.01) and MAL (SMD 0.59, 95% CI 0.34-0.85; p &lt; 0.01) scores, although between-group differences for these endpoints were not statistically significant. For the MBI, a subgroup analysis did not demonstrate significant differences, but a sensitivity analysis revealed a significant improvement in the BCI group (p = 0.042). There were no significant differences in the within- and between-group analyses of the MAS. A subgroup analysis suggested a synergistic benefit with the BCI combined with neuromuscular electrical stimulation. Adverse events were infrequent and generally mild; 2 withdrawals in the BCI group were reported due to seizure and electrode allergy. Notably, all heterogeneity was successfully resolved through sensitivity analyses, supporting the robustness of the findings.</w:t>
      </w:r>
    </w:p>
    <w:p w14:paraId="477BB933" w14:textId="77777777" w:rsidR="009A4AF6" w:rsidRPr="009A4AF6" w:rsidRDefault="009A4AF6" w:rsidP="009A4AF6">
      <w:pPr>
        <w:spacing w:after="0"/>
        <w:rPr>
          <w:lang w:val="en-GB"/>
        </w:rPr>
      </w:pPr>
      <w:r w:rsidRPr="009A4AF6">
        <w:rPr>
          <w:b/>
          <w:bCs/>
          <w:lang w:val="en-GB"/>
        </w:rPr>
        <w:t>Conclusions</w:t>
      </w:r>
      <w:r w:rsidRPr="009A4AF6">
        <w:rPr>
          <w:lang w:val="en-GB"/>
        </w:rPr>
        <w:t xml:space="preserve">: </w:t>
      </w:r>
      <w:proofErr w:type="spellStart"/>
      <w:r w:rsidRPr="009A4AF6">
        <w:rPr>
          <w:lang w:val="en-GB"/>
        </w:rPr>
        <w:t>Noninvasive</w:t>
      </w:r>
      <w:proofErr w:type="spellEnd"/>
      <w:r w:rsidRPr="009A4AF6">
        <w:rPr>
          <w:lang w:val="en-GB"/>
        </w:rPr>
        <w:t xml:space="preserve"> BCI-assisted rehabilitation is a safe and effective adjunct to conventional therapy, enhancing motor recovery after stroke. While all included RCTs evaluated </w:t>
      </w:r>
      <w:proofErr w:type="spellStart"/>
      <w:r w:rsidRPr="009A4AF6">
        <w:rPr>
          <w:lang w:val="en-GB"/>
        </w:rPr>
        <w:t>noninvasive</w:t>
      </w:r>
      <w:proofErr w:type="spellEnd"/>
      <w:r w:rsidRPr="009A4AF6">
        <w:rPr>
          <w:lang w:val="en-GB"/>
        </w:rPr>
        <w:t xml:space="preserve"> systems, the potential value and efficacy of invasive and minimally invasive BCIs may require further consideration.</w:t>
      </w:r>
    </w:p>
    <w:p w14:paraId="707CC3FF" w14:textId="77777777" w:rsidR="009A4AF6" w:rsidRPr="009A4AF6" w:rsidRDefault="009A4AF6" w:rsidP="009A4AF6">
      <w:pPr>
        <w:spacing w:after="0"/>
        <w:rPr>
          <w:lang w:val="en-GB"/>
        </w:rPr>
      </w:pPr>
    </w:p>
    <w:p w14:paraId="7D78121B" w14:textId="77777777" w:rsidR="009A4AF6" w:rsidRPr="009A4AF6" w:rsidRDefault="009A4AF6" w:rsidP="009A4AF6">
      <w:pPr>
        <w:pStyle w:val="ListParagraph"/>
        <w:numPr>
          <w:ilvl w:val="0"/>
          <w:numId w:val="36"/>
        </w:numPr>
        <w:spacing w:after="0"/>
        <w:rPr>
          <w:lang w:val="en-GB"/>
        </w:rPr>
      </w:pPr>
      <w:hyperlink r:id="rId34" w:history="1">
        <w:r w:rsidRPr="009A4AF6">
          <w:rPr>
            <w:rStyle w:val="Hyperlink"/>
            <w:lang w:val="en-GB"/>
          </w:rPr>
          <w:t>Robot-assisted therapy following stroke: what effects on quality of life, cognitive and psychosocial outcomes? A systematic review</w:t>
        </w:r>
      </w:hyperlink>
      <w:r w:rsidRPr="009A4AF6">
        <w:rPr>
          <w:lang w:val="en-GB"/>
        </w:rPr>
        <w:t xml:space="preserve"> </w:t>
      </w:r>
      <w:hyperlink r:id="rId35" w:history="1">
        <w:r w:rsidRPr="009A4AF6">
          <w:rPr>
            <w:rStyle w:val="Hyperlink"/>
            <w:lang w:val="en-GB"/>
          </w:rPr>
          <w:t>Free Full-text Article</w:t>
        </w:r>
      </w:hyperlink>
    </w:p>
    <w:p w14:paraId="025B9B69" w14:textId="77777777" w:rsidR="009A4AF6" w:rsidRPr="009A4AF6" w:rsidRDefault="009A4AF6" w:rsidP="009A4AF6">
      <w:pPr>
        <w:spacing w:after="0"/>
        <w:rPr>
          <w:lang w:val="en-GB"/>
        </w:rPr>
      </w:pPr>
      <w:r w:rsidRPr="009A4AF6">
        <w:rPr>
          <w:lang w:val="en-GB"/>
        </w:rPr>
        <w:t xml:space="preserve">Zanatta F, </w:t>
      </w:r>
      <w:proofErr w:type="spellStart"/>
      <w:r w:rsidRPr="009A4AF6">
        <w:rPr>
          <w:lang w:val="en-GB"/>
        </w:rPr>
        <w:t>Gorini</w:t>
      </w:r>
      <w:proofErr w:type="spellEnd"/>
      <w:r w:rsidRPr="009A4AF6">
        <w:rPr>
          <w:lang w:val="en-GB"/>
        </w:rPr>
        <w:t xml:space="preserve"> A, Fiorentino L et. al.</w:t>
      </w:r>
    </w:p>
    <w:p w14:paraId="0F65B987" w14:textId="77777777" w:rsidR="009A4AF6" w:rsidRPr="009A4AF6" w:rsidRDefault="009A4AF6" w:rsidP="009A4AF6">
      <w:pPr>
        <w:spacing w:after="0"/>
        <w:rPr>
          <w:lang w:val="en-GB"/>
        </w:rPr>
      </w:pPr>
      <w:r w:rsidRPr="009A4AF6">
        <w:rPr>
          <w:lang w:val="en-GB"/>
        </w:rPr>
        <w:t xml:space="preserve">J </w:t>
      </w:r>
      <w:proofErr w:type="spellStart"/>
      <w:r w:rsidRPr="009A4AF6">
        <w:rPr>
          <w:lang w:val="en-GB"/>
        </w:rPr>
        <w:t>Rehabil</w:t>
      </w:r>
      <w:proofErr w:type="spellEnd"/>
      <w:r w:rsidRPr="009A4AF6">
        <w:rPr>
          <w:lang w:val="en-GB"/>
        </w:rPr>
        <w:t xml:space="preserve"> Med. 2026 Feb 11;</w:t>
      </w:r>
      <w:proofErr w:type="gramStart"/>
      <w:r w:rsidRPr="009A4AF6">
        <w:rPr>
          <w:lang w:val="en-GB"/>
        </w:rPr>
        <w:t>58:jrm</w:t>
      </w:r>
      <w:proofErr w:type="gramEnd"/>
      <w:r w:rsidRPr="009A4AF6">
        <w:rPr>
          <w:lang w:val="en-GB"/>
        </w:rPr>
        <w:t xml:space="preserve">44943. </w:t>
      </w:r>
      <w:proofErr w:type="spellStart"/>
      <w:r w:rsidRPr="009A4AF6">
        <w:rPr>
          <w:lang w:val="en-GB"/>
        </w:rPr>
        <w:t>doi</w:t>
      </w:r>
      <w:proofErr w:type="spellEnd"/>
      <w:r w:rsidRPr="009A4AF6">
        <w:rPr>
          <w:lang w:val="en-GB"/>
        </w:rPr>
        <w:t>: 10.2340/</w:t>
      </w:r>
      <w:proofErr w:type="gramStart"/>
      <w:r w:rsidRPr="009A4AF6">
        <w:rPr>
          <w:lang w:val="en-GB"/>
        </w:rPr>
        <w:t>jrm.v</w:t>
      </w:r>
      <w:proofErr w:type="gramEnd"/>
      <w:r w:rsidRPr="009A4AF6">
        <w:rPr>
          <w:lang w:val="en-GB"/>
        </w:rPr>
        <w:t>58.44943</w:t>
      </w:r>
    </w:p>
    <w:p w14:paraId="135F9128" w14:textId="77777777" w:rsidR="009A4AF6" w:rsidRPr="009A4AF6" w:rsidRDefault="009A4AF6" w:rsidP="009A4AF6">
      <w:pPr>
        <w:spacing w:after="0"/>
        <w:rPr>
          <w:lang w:val="en-GB"/>
        </w:rPr>
      </w:pPr>
      <w:r w:rsidRPr="009A4AF6">
        <w:rPr>
          <w:b/>
          <w:bCs/>
          <w:lang w:val="en-GB"/>
        </w:rPr>
        <w:t>Results</w:t>
      </w:r>
      <w:r w:rsidRPr="009A4AF6">
        <w:rPr>
          <w:lang w:val="en-GB"/>
        </w:rPr>
        <w:t>: A total of 90 studies met the inclusion criteria. Considerable heterogeneity was found in participants' characteristics, intervention duration (2-52 weeks), and dosage (20-240 min/session). Most studies reported significant RAT effects on QoL (emotional, physical, cognitive, social subdomains), cognition (attention, executive functions, memory, language, visuo-spatial abilities, intelligence), and psychosocial outcomes (anxiety, depression, self-efficacy, fear of falling, motivation, coping). Some studies also showed greater improvements compared with conventional training controls. Longitudinal effects were generally absent, except for QoL variations observed up to 12 months. Cognitive and psychological factors were also identified as moderators/predictors of RAT response.</w:t>
      </w:r>
    </w:p>
    <w:p w14:paraId="7EB4C1FB" w14:textId="31FB695D" w:rsidR="004C763C" w:rsidRDefault="009A4AF6" w:rsidP="009A4AF6">
      <w:pPr>
        <w:spacing w:after="0"/>
      </w:pPr>
      <w:r w:rsidRPr="009A4AF6">
        <w:rPr>
          <w:b/>
          <w:bCs/>
          <w:lang w:val="en-GB"/>
        </w:rPr>
        <w:t>Conclusion</w:t>
      </w:r>
      <w:r w:rsidRPr="009A4AF6">
        <w:rPr>
          <w:lang w:val="en-GB"/>
        </w:rPr>
        <w:t>: Despite variability across studies, findings suggest RAT may have a broad impact beyond motor recovery. Future large-scale, standardized, longitudinal trials are recommended to confirm</w:t>
      </w:r>
      <w:r>
        <w:rPr>
          <w:lang w:val="en-GB"/>
        </w:rPr>
        <w:t xml:space="preserve"> these results</w:t>
      </w:r>
      <w:r w:rsidR="004C763C" w:rsidRPr="004C763C">
        <w:t>.</w:t>
      </w:r>
    </w:p>
    <w:p w14:paraId="15C40D5C" w14:textId="4CA82904" w:rsidR="009444A0" w:rsidRPr="00496C59" w:rsidRDefault="009444A0" w:rsidP="009444A0">
      <w:pPr>
        <w:spacing w:after="0"/>
        <w:rPr>
          <w:rStyle w:val="Hyperlink"/>
          <w:rFonts w:cs="Times New Roman"/>
          <w:color w:val="auto"/>
          <w:szCs w:val="20"/>
          <w:u w:val="none"/>
        </w:rPr>
      </w:pPr>
      <w:hyperlink w:anchor="content" w:history="1">
        <w:r w:rsidRPr="00496C59">
          <w:rPr>
            <w:rStyle w:val="Hyperlink"/>
            <w:rFonts w:cs="Times New Roman"/>
            <w:szCs w:val="20"/>
          </w:rPr>
          <w:t>Back to content</w:t>
        </w:r>
      </w:hyperlink>
    </w:p>
    <w:p w14:paraId="68DFC97A" w14:textId="5C2B6B83" w:rsidR="00384A1F" w:rsidRPr="00496C59" w:rsidRDefault="00384A1F" w:rsidP="00BA12D4">
      <w:pPr>
        <w:spacing w:after="0"/>
        <w:rPr>
          <w:rFonts w:cs="Times New Roman"/>
          <w:szCs w:val="20"/>
        </w:rPr>
      </w:pPr>
    </w:p>
    <w:p w14:paraId="2CE2C9B9" w14:textId="050BA53E" w:rsidR="00661EA2" w:rsidRPr="00496C59" w:rsidRDefault="00661EA2" w:rsidP="00496C59">
      <w:pPr>
        <w:pStyle w:val="Heading3"/>
      </w:pPr>
      <w:bookmarkStart w:id="33" w:name="PD_Systemtic_Review"/>
      <w:bookmarkStart w:id="34" w:name="_Ref97704993"/>
      <w:bookmarkStart w:id="35" w:name="_Hlk133050438"/>
      <w:bookmarkEnd w:id="28"/>
      <w:bookmarkEnd w:id="33"/>
      <w:r w:rsidRPr="00496C59">
        <w:t>Parkinson’s disease</w:t>
      </w:r>
      <w:bookmarkEnd w:id="34"/>
    </w:p>
    <w:p w14:paraId="36DA1961" w14:textId="6891245E" w:rsidR="00D7106D" w:rsidRPr="00D7106D" w:rsidRDefault="00D7106D" w:rsidP="00D7106D">
      <w:pPr>
        <w:pStyle w:val="ListParagraph"/>
        <w:numPr>
          <w:ilvl w:val="0"/>
          <w:numId w:val="35"/>
        </w:numPr>
        <w:spacing w:after="0"/>
        <w:rPr>
          <w:rFonts w:cs="Times New Roman"/>
          <w:b/>
          <w:bCs/>
          <w:color w:val="EE0000"/>
          <w:szCs w:val="20"/>
          <w:lang w:val="en-GB"/>
        </w:rPr>
      </w:pPr>
      <w:hyperlink r:id="rId36" w:tgtFrame="_blank" w:history="1">
        <w:r w:rsidRPr="00D7106D">
          <w:rPr>
            <w:rStyle w:val="Hyperlink"/>
            <w:rFonts w:cs="Times New Roman"/>
            <w:szCs w:val="20"/>
          </w:rPr>
          <w:t>Innovative socio-sanitary rehabilitation models in central nervous system disorders: a systematic review.</w:t>
        </w:r>
      </w:hyperlink>
      <w:r w:rsidRPr="00D7106D">
        <w:rPr>
          <w:rFonts w:cs="Times New Roman"/>
          <w:szCs w:val="20"/>
          <w:lang w:val="en-ZA"/>
        </w:rPr>
        <w:t xml:space="preserve"> </w:t>
      </w:r>
      <w:hyperlink r:id="rId37" w:history="1">
        <w:r w:rsidRPr="00D7106D">
          <w:rPr>
            <w:rStyle w:val="Hyperlink"/>
            <w:rFonts w:cs="Times New Roman"/>
            <w:b/>
            <w:bCs/>
            <w:color w:val="EE0000"/>
            <w:szCs w:val="20"/>
            <w:lang w:val="en-GB"/>
          </w:rPr>
          <w:t>Free Full Text</w:t>
        </w:r>
      </w:hyperlink>
    </w:p>
    <w:p w14:paraId="40A6D19A" w14:textId="74BC8F38" w:rsidR="00D7106D" w:rsidRPr="00D7106D" w:rsidRDefault="00D7106D" w:rsidP="00D7106D">
      <w:pPr>
        <w:spacing w:after="0"/>
        <w:rPr>
          <w:rFonts w:cs="Times New Roman"/>
          <w:szCs w:val="20"/>
          <w:lang w:val="en-GB"/>
        </w:rPr>
      </w:pPr>
      <w:r w:rsidRPr="00D7106D">
        <w:rPr>
          <w:rFonts w:cs="Times New Roman"/>
          <w:szCs w:val="20"/>
          <w:lang w:val="en-GB"/>
        </w:rPr>
        <w:t xml:space="preserve">Morlino G, Chimienti M, </w:t>
      </w:r>
      <w:proofErr w:type="spellStart"/>
      <w:r w:rsidRPr="00D7106D">
        <w:rPr>
          <w:rFonts w:cs="Times New Roman"/>
          <w:szCs w:val="20"/>
          <w:lang w:val="en-GB"/>
        </w:rPr>
        <w:t>Zerellari</w:t>
      </w:r>
      <w:proofErr w:type="spellEnd"/>
      <w:r w:rsidRPr="00D7106D">
        <w:rPr>
          <w:rFonts w:cs="Times New Roman"/>
          <w:szCs w:val="20"/>
          <w:lang w:val="en-GB"/>
        </w:rPr>
        <w:t xml:space="preserve"> O, et al., </w:t>
      </w:r>
    </w:p>
    <w:p w14:paraId="5AC3E1E7" w14:textId="77777777" w:rsidR="00D7106D" w:rsidRPr="00D7106D" w:rsidRDefault="00D7106D" w:rsidP="00D7106D">
      <w:pPr>
        <w:spacing w:after="0"/>
        <w:rPr>
          <w:rFonts w:cs="Times New Roman"/>
          <w:szCs w:val="20"/>
          <w:lang w:val="en-GB"/>
        </w:rPr>
      </w:pPr>
      <w:r w:rsidRPr="00D7106D">
        <w:rPr>
          <w:rFonts w:cs="Times New Roman"/>
          <w:szCs w:val="20"/>
          <w:lang w:val="en-GB"/>
        </w:rPr>
        <w:t xml:space="preserve">Front Public Health. 2026 Feb </w:t>
      </w:r>
      <w:proofErr w:type="gramStart"/>
      <w:r w:rsidRPr="00D7106D">
        <w:rPr>
          <w:rFonts w:cs="Times New Roman"/>
          <w:szCs w:val="20"/>
          <w:lang w:val="en-GB"/>
        </w:rPr>
        <w:t>13;14:1742821</w:t>
      </w:r>
      <w:proofErr w:type="gramEnd"/>
      <w:r w:rsidRPr="00D7106D">
        <w:rPr>
          <w:rFonts w:cs="Times New Roman"/>
          <w:szCs w:val="20"/>
          <w:lang w:val="en-GB"/>
        </w:rPr>
        <w:t xml:space="preserve">. </w:t>
      </w:r>
      <w:proofErr w:type="spellStart"/>
      <w:r w:rsidRPr="00D7106D">
        <w:rPr>
          <w:rFonts w:cs="Times New Roman"/>
          <w:szCs w:val="20"/>
          <w:lang w:val="en-GB"/>
        </w:rPr>
        <w:t>doi</w:t>
      </w:r>
      <w:proofErr w:type="spellEnd"/>
      <w:r w:rsidRPr="00D7106D">
        <w:rPr>
          <w:rFonts w:cs="Times New Roman"/>
          <w:szCs w:val="20"/>
          <w:lang w:val="en-GB"/>
        </w:rPr>
        <w:t>: 10.3389/fpubh.2026.1742821</w:t>
      </w:r>
    </w:p>
    <w:p w14:paraId="27BE3668" w14:textId="77777777" w:rsidR="00D7106D" w:rsidRPr="00D7106D" w:rsidRDefault="00D7106D" w:rsidP="00D7106D">
      <w:pPr>
        <w:spacing w:after="0"/>
        <w:rPr>
          <w:rFonts w:cs="Times New Roman"/>
          <w:szCs w:val="20"/>
        </w:rPr>
      </w:pPr>
      <w:r w:rsidRPr="00D7106D">
        <w:rPr>
          <w:rFonts w:cs="Times New Roman"/>
          <w:b/>
          <w:bCs/>
          <w:szCs w:val="20"/>
        </w:rPr>
        <w:t>Results: </w:t>
      </w:r>
      <w:r w:rsidRPr="00D7106D">
        <w:rPr>
          <w:rFonts w:cs="Times New Roman"/>
          <w:szCs w:val="20"/>
        </w:rPr>
        <w:t>Sixty-four studies were included, with stroke as the most frequently studied condition, followed by Alzheimer's disease, multiple sclerosis, Parkinson's disease, and spinal cord injury. Most of the services were embedded within public health systems with a prevalence of home or territorial-setting.</w:t>
      </w:r>
    </w:p>
    <w:p w14:paraId="473A054E" w14:textId="77777777" w:rsidR="00D7106D" w:rsidRPr="00D7106D" w:rsidRDefault="00D7106D" w:rsidP="00D7106D">
      <w:pPr>
        <w:spacing w:after="0"/>
        <w:rPr>
          <w:rFonts w:cs="Times New Roman"/>
          <w:szCs w:val="20"/>
        </w:rPr>
      </w:pPr>
      <w:r w:rsidRPr="00D7106D">
        <w:rPr>
          <w:rFonts w:cs="Times New Roman"/>
          <w:b/>
          <w:bCs/>
          <w:szCs w:val="20"/>
        </w:rPr>
        <w:lastRenderedPageBreak/>
        <w:t>Conclusion: </w:t>
      </w:r>
      <w:r w:rsidRPr="00D7106D">
        <w:rPr>
          <w:rFonts w:cs="Times New Roman"/>
          <w:szCs w:val="20"/>
        </w:rPr>
        <w:t>The review identifies promising evidence of positive impacts associated with socio-sanitary services, particularly in relation to functional outcomes, patient satisfaction and support for community living. At the same time there are important gaps in their implementation, integration, and the methodological consistency of existing studies. Across multiple settings, continuity of care appears fragmented, and case management functions are inconsistently implemented or, in some cases, entirely absent. Together, these findings suggest that while socio-sanitary models can offer meaningful benefits, persistent gaps in coordination and follow-up represent key structural barriers to achieving effective and sustainable integration.</w:t>
      </w:r>
    </w:p>
    <w:p w14:paraId="2DF9A0A0" w14:textId="77777777" w:rsidR="00D7106D" w:rsidRDefault="00D7106D" w:rsidP="006F10EA">
      <w:pPr>
        <w:spacing w:after="0"/>
        <w:rPr>
          <w:rFonts w:cs="Times New Roman"/>
          <w:szCs w:val="20"/>
          <w:lang w:val="en-ZA"/>
        </w:rPr>
      </w:pPr>
    </w:p>
    <w:p w14:paraId="426BE9E2" w14:textId="6009BAE9" w:rsidR="00D7106D" w:rsidRPr="00D7106D" w:rsidRDefault="00D7106D" w:rsidP="00D7106D">
      <w:pPr>
        <w:pStyle w:val="ListParagraph"/>
        <w:numPr>
          <w:ilvl w:val="0"/>
          <w:numId w:val="35"/>
        </w:numPr>
        <w:spacing w:after="0"/>
        <w:rPr>
          <w:rFonts w:cs="Times New Roman"/>
          <w:szCs w:val="20"/>
          <w:lang w:val="en-ZA"/>
        </w:rPr>
      </w:pPr>
      <w:hyperlink r:id="rId38" w:tgtFrame="_blank" w:history="1">
        <w:r w:rsidRPr="00D7106D">
          <w:rPr>
            <w:rStyle w:val="Hyperlink"/>
            <w:rFonts w:cs="Times New Roman"/>
            <w:szCs w:val="20"/>
          </w:rPr>
          <w:t>Effectiveness of Music Therapy with Personalized Rhythmic Auditory Stimulation Plus Music-Contingent Gait Training in Patients with Parkinson's Disease: A Systematic Review.</w:t>
        </w:r>
      </w:hyperlink>
      <w:r w:rsidRPr="00D7106D">
        <w:rPr>
          <w:rFonts w:cs="Times New Roman"/>
          <w:szCs w:val="20"/>
          <w:lang w:val="en-ZA"/>
        </w:rPr>
        <w:t xml:space="preserve"> </w:t>
      </w:r>
      <w:hyperlink r:id="rId39" w:history="1">
        <w:r w:rsidRPr="00D7106D">
          <w:rPr>
            <w:rStyle w:val="Hyperlink"/>
            <w:rFonts w:cs="Times New Roman"/>
            <w:color w:val="EE0000"/>
            <w:szCs w:val="20"/>
            <w:lang w:val="en-ZA"/>
          </w:rPr>
          <w:t>Free Full Text</w:t>
        </w:r>
      </w:hyperlink>
    </w:p>
    <w:p w14:paraId="40F85081" w14:textId="728AD369" w:rsidR="00D7106D" w:rsidRPr="00D7106D" w:rsidRDefault="00D7106D" w:rsidP="00D7106D">
      <w:pPr>
        <w:spacing w:after="0"/>
        <w:rPr>
          <w:rFonts w:cs="Times New Roman"/>
          <w:szCs w:val="20"/>
          <w:lang w:val="en-ZA"/>
        </w:rPr>
      </w:pPr>
      <w:proofErr w:type="spellStart"/>
      <w:r w:rsidRPr="00D7106D">
        <w:rPr>
          <w:rFonts w:cs="Times New Roman"/>
          <w:szCs w:val="20"/>
          <w:lang w:val="en-ZA"/>
        </w:rPr>
        <w:t>Demeco</w:t>
      </w:r>
      <w:proofErr w:type="spellEnd"/>
      <w:r w:rsidRPr="00D7106D">
        <w:rPr>
          <w:rFonts w:cs="Times New Roman"/>
          <w:szCs w:val="20"/>
          <w:lang w:val="en-ZA"/>
        </w:rPr>
        <w:t xml:space="preserve"> A, Bruno RC, Bonfiglio R, et al., </w:t>
      </w:r>
    </w:p>
    <w:p w14:paraId="113530B2" w14:textId="77777777" w:rsidR="00D7106D" w:rsidRPr="00D7106D" w:rsidRDefault="00D7106D" w:rsidP="00D7106D">
      <w:pPr>
        <w:spacing w:after="0"/>
        <w:rPr>
          <w:rFonts w:cs="Times New Roman"/>
          <w:szCs w:val="20"/>
          <w:lang w:val="en-ZA"/>
        </w:rPr>
      </w:pPr>
      <w:proofErr w:type="spellStart"/>
      <w:r w:rsidRPr="00D7106D">
        <w:rPr>
          <w:rFonts w:cs="Times New Roman"/>
          <w:szCs w:val="20"/>
          <w:lang w:val="en-ZA"/>
        </w:rPr>
        <w:t>Neurol</w:t>
      </w:r>
      <w:proofErr w:type="spellEnd"/>
      <w:r w:rsidRPr="00D7106D">
        <w:rPr>
          <w:rFonts w:cs="Times New Roman"/>
          <w:szCs w:val="20"/>
          <w:lang w:val="en-ZA"/>
        </w:rPr>
        <w:t xml:space="preserve"> Int. 2026 Feb 3;18(2):26. </w:t>
      </w:r>
      <w:proofErr w:type="spellStart"/>
      <w:r w:rsidRPr="00D7106D">
        <w:rPr>
          <w:rFonts w:cs="Times New Roman"/>
          <w:szCs w:val="20"/>
          <w:lang w:val="en-ZA"/>
        </w:rPr>
        <w:t>doi</w:t>
      </w:r>
      <w:proofErr w:type="spellEnd"/>
      <w:r w:rsidRPr="00D7106D">
        <w:rPr>
          <w:rFonts w:cs="Times New Roman"/>
          <w:szCs w:val="20"/>
          <w:lang w:val="en-ZA"/>
        </w:rPr>
        <w:t>: 10.3390/neurolint18020026.</w:t>
      </w:r>
    </w:p>
    <w:p w14:paraId="4099C93F" w14:textId="77777777" w:rsidR="00D7106D" w:rsidRPr="00D7106D" w:rsidRDefault="00D7106D" w:rsidP="00D7106D">
      <w:pPr>
        <w:spacing w:after="0"/>
        <w:rPr>
          <w:rFonts w:cs="Times New Roman"/>
          <w:szCs w:val="20"/>
          <w:lang w:val="en-GB"/>
        </w:rPr>
      </w:pPr>
      <w:r w:rsidRPr="00D7106D">
        <w:rPr>
          <w:rFonts w:cs="Times New Roman"/>
          <w:b/>
          <w:bCs/>
          <w:szCs w:val="20"/>
          <w:lang w:val="en-GB"/>
        </w:rPr>
        <w:t>Results</w:t>
      </w:r>
      <w:r w:rsidRPr="00D7106D">
        <w:rPr>
          <w:rFonts w:cs="Times New Roman"/>
          <w:szCs w:val="20"/>
          <w:lang w:val="en-GB"/>
        </w:rPr>
        <w:t>: Ten studies were included in the analysis. All the studies reported clinically relevant improvements: increases in gait speed, step length, and amplitude. Moreover, a reduction in freezing of gait episodes (up to 36%), greater walking distance, and good adherence were reported. </w:t>
      </w:r>
    </w:p>
    <w:p w14:paraId="66CA52A5" w14:textId="77777777" w:rsidR="00D7106D" w:rsidRPr="00D7106D" w:rsidRDefault="00D7106D" w:rsidP="00D7106D">
      <w:pPr>
        <w:spacing w:after="0"/>
        <w:rPr>
          <w:rFonts w:cs="Times New Roman"/>
          <w:szCs w:val="20"/>
          <w:lang w:val="en-GB"/>
        </w:rPr>
      </w:pPr>
      <w:r w:rsidRPr="00D7106D">
        <w:rPr>
          <w:rFonts w:cs="Times New Roman"/>
          <w:b/>
          <w:bCs/>
          <w:szCs w:val="20"/>
          <w:lang w:val="en-GB"/>
        </w:rPr>
        <w:t>Conclusions</w:t>
      </w:r>
      <w:r w:rsidRPr="00D7106D">
        <w:rPr>
          <w:rFonts w:cs="Times New Roman"/>
          <w:szCs w:val="20"/>
          <w:lang w:val="en-GB"/>
        </w:rPr>
        <w:t xml:space="preserve">: Personalized, adaptive, or on-demand solutions proved more effective than traditional forms of cueing. Moreover, the available evidence suggests that </w:t>
      </w:r>
      <w:proofErr w:type="spellStart"/>
      <w:r w:rsidRPr="00D7106D">
        <w:rPr>
          <w:rFonts w:cs="Times New Roman"/>
          <w:szCs w:val="20"/>
          <w:lang w:val="en-GB"/>
        </w:rPr>
        <w:t>pRAS</w:t>
      </w:r>
      <w:proofErr w:type="spellEnd"/>
      <w:r w:rsidRPr="00D7106D">
        <w:rPr>
          <w:rFonts w:cs="Times New Roman"/>
          <w:szCs w:val="20"/>
          <w:lang w:val="en-GB"/>
        </w:rPr>
        <w:t xml:space="preserve"> constitutes an effective and safe rehabilitative option for gait disturbances in PD. However, further studies with larger sample sizes and prolonged follow-up periods are necessary to evaluate its long-term impact and transferability into clinical practice.</w:t>
      </w:r>
    </w:p>
    <w:p w14:paraId="117E4790" w14:textId="77777777" w:rsidR="00D7106D" w:rsidRDefault="00D7106D" w:rsidP="00D7106D">
      <w:pPr>
        <w:spacing w:after="0"/>
        <w:rPr>
          <w:rFonts w:cs="Times New Roman"/>
          <w:szCs w:val="20"/>
        </w:rPr>
      </w:pPr>
    </w:p>
    <w:p w14:paraId="7AD17F32" w14:textId="52DD5E7A" w:rsidR="00D7106D" w:rsidRPr="00D7106D" w:rsidRDefault="00D7106D" w:rsidP="00D7106D">
      <w:pPr>
        <w:pStyle w:val="ListParagraph"/>
        <w:numPr>
          <w:ilvl w:val="0"/>
          <w:numId w:val="35"/>
        </w:numPr>
        <w:spacing w:after="0"/>
        <w:rPr>
          <w:rFonts w:cs="Times New Roman"/>
          <w:szCs w:val="20"/>
          <w:lang w:val="en-ZA"/>
        </w:rPr>
      </w:pPr>
      <w:hyperlink r:id="rId40" w:tgtFrame="_blank" w:history="1">
        <w:r w:rsidRPr="00D7106D">
          <w:rPr>
            <w:rStyle w:val="Hyperlink"/>
            <w:rFonts w:cs="Times New Roman"/>
            <w:szCs w:val="20"/>
            <w:lang w:val="en-GB"/>
          </w:rPr>
          <w:t>Prevalence and Risk of Carpal Tunnel Syndrome in Parkinson's Disease: A Systematic Review and Meta-Analysis.</w:t>
        </w:r>
      </w:hyperlink>
    </w:p>
    <w:p w14:paraId="520999A6" w14:textId="77777777" w:rsidR="00D7106D" w:rsidRPr="00D7106D" w:rsidRDefault="00D7106D" w:rsidP="00D7106D">
      <w:pPr>
        <w:spacing w:after="0"/>
        <w:rPr>
          <w:rStyle w:val="Hyperlink"/>
          <w:rFonts w:cs="Times New Roman"/>
          <w:color w:val="EE0000"/>
          <w:szCs w:val="20"/>
          <w:lang w:val="en-ZA"/>
        </w:rPr>
      </w:pPr>
      <w:r w:rsidRPr="00D7106D">
        <w:rPr>
          <w:rFonts w:cs="Times New Roman"/>
          <w:color w:val="EE0000"/>
          <w:szCs w:val="20"/>
          <w:lang w:val="en-ZA"/>
        </w:rPr>
        <w:fldChar w:fldCharType="begin"/>
      </w:r>
      <w:r w:rsidRPr="00D7106D">
        <w:rPr>
          <w:rFonts w:cs="Times New Roman"/>
          <w:color w:val="EE0000"/>
          <w:szCs w:val="20"/>
          <w:lang w:val="en-ZA"/>
        </w:rPr>
        <w:instrText>HYPERLINK "https://pmc.ncbi.nlm.nih.gov/articles/PMC12921936/"</w:instrText>
      </w:r>
      <w:r w:rsidRPr="00D7106D">
        <w:rPr>
          <w:rFonts w:cs="Times New Roman"/>
          <w:color w:val="EE0000"/>
          <w:szCs w:val="20"/>
          <w:lang w:val="en-ZA"/>
        </w:rPr>
      </w:r>
      <w:r w:rsidRPr="00D7106D">
        <w:rPr>
          <w:rFonts w:cs="Times New Roman"/>
          <w:color w:val="EE0000"/>
          <w:szCs w:val="20"/>
          <w:lang w:val="en-ZA"/>
        </w:rPr>
        <w:fldChar w:fldCharType="separate"/>
      </w:r>
      <w:r w:rsidRPr="00D7106D">
        <w:rPr>
          <w:rStyle w:val="Hyperlink"/>
          <w:rFonts w:cs="Times New Roman"/>
          <w:color w:val="EE0000"/>
          <w:szCs w:val="20"/>
          <w:lang w:val="en-ZA"/>
        </w:rPr>
        <w:t>Free Full Text</w:t>
      </w:r>
    </w:p>
    <w:p w14:paraId="55585224" w14:textId="348C1F9A" w:rsidR="00D7106D" w:rsidRPr="00D7106D" w:rsidRDefault="00D7106D" w:rsidP="00D7106D">
      <w:pPr>
        <w:spacing w:after="0"/>
        <w:rPr>
          <w:rFonts w:cs="Times New Roman"/>
          <w:szCs w:val="20"/>
          <w:lang w:val="en-ZA"/>
        </w:rPr>
      </w:pPr>
      <w:r w:rsidRPr="00D7106D">
        <w:rPr>
          <w:rFonts w:cs="Times New Roman"/>
          <w:color w:val="EE0000"/>
          <w:szCs w:val="20"/>
          <w:lang w:val="en-ZA"/>
        </w:rPr>
        <w:fldChar w:fldCharType="end"/>
      </w:r>
      <w:r w:rsidRPr="00D7106D">
        <w:rPr>
          <w:rFonts w:cs="Times New Roman"/>
          <w:szCs w:val="20"/>
          <w:lang w:val="en-ZA"/>
        </w:rPr>
        <w:t xml:space="preserve"> Attia AN, Raafat KW, Ezz MR, et al., </w:t>
      </w:r>
    </w:p>
    <w:p w14:paraId="38540AF1" w14:textId="77777777" w:rsidR="00D7106D" w:rsidRPr="00D7106D" w:rsidRDefault="00D7106D" w:rsidP="00D7106D">
      <w:pPr>
        <w:spacing w:after="0"/>
        <w:rPr>
          <w:rFonts w:cs="Times New Roman"/>
          <w:szCs w:val="20"/>
          <w:lang w:val="en-ZA"/>
        </w:rPr>
      </w:pPr>
      <w:r w:rsidRPr="00D7106D">
        <w:rPr>
          <w:rFonts w:cs="Times New Roman"/>
          <w:szCs w:val="20"/>
          <w:lang w:val="en-ZA"/>
        </w:rPr>
        <w:t xml:space="preserve">J </w:t>
      </w:r>
      <w:proofErr w:type="spellStart"/>
      <w:r w:rsidRPr="00D7106D">
        <w:rPr>
          <w:rFonts w:cs="Times New Roman"/>
          <w:szCs w:val="20"/>
          <w:lang w:val="en-ZA"/>
        </w:rPr>
        <w:t>Funct</w:t>
      </w:r>
      <w:proofErr w:type="spellEnd"/>
      <w:r w:rsidRPr="00D7106D">
        <w:rPr>
          <w:rFonts w:cs="Times New Roman"/>
          <w:szCs w:val="20"/>
          <w:lang w:val="en-ZA"/>
        </w:rPr>
        <w:t xml:space="preserve"> </w:t>
      </w:r>
      <w:proofErr w:type="spellStart"/>
      <w:r w:rsidRPr="00D7106D">
        <w:rPr>
          <w:rFonts w:cs="Times New Roman"/>
          <w:szCs w:val="20"/>
          <w:lang w:val="en-ZA"/>
        </w:rPr>
        <w:t>Morphol</w:t>
      </w:r>
      <w:proofErr w:type="spellEnd"/>
      <w:r w:rsidRPr="00D7106D">
        <w:rPr>
          <w:rFonts w:cs="Times New Roman"/>
          <w:szCs w:val="20"/>
          <w:lang w:val="en-ZA"/>
        </w:rPr>
        <w:t xml:space="preserve"> </w:t>
      </w:r>
      <w:proofErr w:type="spellStart"/>
      <w:r w:rsidRPr="00D7106D">
        <w:rPr>
          <w:rFonts w:cs="Times New Roman"/>
          <w:szCs w:val="20"/>
          <w:lang w:val="en-ZA"/>
        </w:rPr>
        <w:t>Kinesiol</w:t>
      </w:r>
      <w:proofErr w:type="spellEnd"/>
      <w:r w:rsidRPr="00D7106D">
        <w:rPr>
          <w:rFonts w:cs="Times New Roman"/>
          <w:szCs w:val="20"/>
          <w:lang w:val="en-ZA"/>
        </w:rPr>
        <w:t xml:space="preserve">. 2026 Feb 2;11(1):66. </w:t>
      </w:r>
      <w:proofErr w:type="spellStart"/>
      <w:r w:rsidRPr="00D7106D">
        <w:rPr>
          <w:rFonts w:cs="Times New Roman"/>
          <w:szCs w:val="20"/>
          <w:lang w:val="en-ZA"/>
        </w:rPr>
        <w:t>doi</w:t>
      </w:r>
      <w:proofErr w:type="spellEnd"/>
      <w:r w:rsidRPr="00D7106D">
        <w:rPr>
          <w:rFonts w:cs="Times New Roman"/>
          <w:szCs w:val="20"/>
          <w:lang w:val="en-ZA"/>
        </w:rPr>
        <w:t>: 10.3390/jfmk11010066.</w:t>
      </w:r>
    </w:p>
    <w:p w14:paraId="0B348D8E" w14:textId="77777777" w:rsidR="00D7106D" w:rsidRPr="00D7106D" w:rsidRDefault="00D7106D" w:rsidP="00D7106D">
      <w:pPr>
        <w:spacing w:after="0"/>
        <w:rPr>
          <w:rFonts w:cs="Times New Roman"/>
          <w:szCs w:val="20"/>
          <w:lang w:val="en-GB"/>
        </w:rPr>
      </w:pPr>
      <w:r w:rsidRPr="00D7106D">
        <w:rPr>
          <w:rFonts w:cs="Times New Roman"/>
          <w:b/>
          <w:bCs/>
          <w:szCs w:val="20"/>
          <w:lang w:val="en-GB"/>
        </w:rPr>
        <w:t>Results</w:t>
      </w:r>
      <w:r w:rsidRPr="00D7106D">
        <w:rPr>
          <w:rFonts w:cs="Times New Roman"/>
          <w:szCs w:val="20"/>
          <w:lang w:val="en-GB"/>
        </w:rPr>
        <w:t>: A total of 7 studies involving 411 participants (343 with PD and 68 controls) met the inclusion criteria, with 679 wrists assessed. The pooled prevalence of CTS in PD was estimated at 15% (95% CI: 0.07-0.28) with significant heterogeneity (</w:t>
      </w:r>
      <w:r w:rsidRPr="00D7106D">
        <w:rPr>
          <w:rFonts w:cs="Times New Roman"/>
          <w:i/>
          <w:iCs/>
          <w:szCs w:val="20"/>
          <w:lang w:val="en-GB"/>
        </w:rPr>
        <w:t>p</w:t>
      </w:r>
      <w:r w:rsidRPr="00D7106D">
        <w:rPr>
          <w:rFonts w:cs="Times New Roman"/>
          <w:szCs w:val="20"/>
          <w:lang w:val="en-GB"/>
        </w:rPr>
        <w:t> &lt; 0.001, I</w:t>
      </w:r>
      <w:r w:rsidRPr="00D7106D">
        <w:rPr>
          <w:rFonts w:cs="Times New Roman"/>
          <w:szCs w:val="20"/>
          <w:vertAlign w:val="superscript"/>
          <w:lang w:val="en-GB"/>
        </w:rPr>
        <w:t>2</w:t>
      </w:r>
      <w:r w:rsidRPr="00D7106D">
        <w:rPr>
          <w:rFonts w:cs="Times New Roman"/>
          <w:szCs w:val="20"/>
          <w:lang w:val="en-GB"/>
        </w:rPr>
        <w:t> = 91%). The RD was 10% (95% CI: 0.04-0.16, </w:t>
      </w:r>
      <w:r w:rsidRPr="00D7106D">
        <w:rPr>
          <w:rFonts w:cs="Times New Roman"/>
          <w:i/>
          <w:iCs/>
          <w:szCs w:val="20"/>
          <w:lang w:val="en-GB"/>
        </w:rPr>
        <w:t>p</w:t>
      </w:r>
      <w:r w:rsidRPr="00D7106D">
        <w:rPr>
          <w:rFonts w:cs="Times New Roman"/>
          <w:szCs w:val="20"/>
          <w:lang w:val="en-GB"/>
        </w:rPr>
        <w:t> = 0.002), with low heterogeneity (</w:t>
      </w:r>
      <w:r w:rsidRPr="00D7106D">
        <w:rPr>
          <w:rFonts w:cs="Times New Roman"/>
          <w:i/>
          <w:iCs/>
          <w:szCs w:val="20"/>
          <w:lang w:val="en-GB"/>
        </w:rPr>
        <w:t>p</w:t>
      </w:r>
      <w:r w:rsidRPr="00D7106D">
        <w:rPr>
          <w:rFonts w:cs="Times New Roman"/>
          <w:szCs w:val="20"/>
          <w:lang w:val="en-GB"/>
        </w:rPr>
        <w:t> = 0.29, I</w:t>
      </w:r>
      <w:r w:rsidRPr="00D7106D">
        <w:rPr>
          <w:rFonts w:cs="Times New Roman"/>
          <w:szCs w:val="20"/>
          <w:vertAlign w:val="superscript"/>
          <w:lang w:val="en-GB"/>
        </w:rPr>
        <w:t>2</w:t>
      </w:r>
      <w:r w:rsidRPr="00D7106D">
        <w:rPr>
          <w:rFonts w:cs="Times New Roman"/>
          <w:szCs w:val="20"/>
          <w:lang w:val="en-GB"/>
        </w:rPr>
        <w:t> = 19%). The RR of CTS in PD compared with controls was 3.31 (95% CI: 0.60-18.42, </w:t>
      </w:r>
      <w:r w:rsidRPr="00D7106D">
        <w:rPr>
          <w:rFonts w:cs="Times New Roman"/>
          <w:i/>
          <w:iCs/>
          <w:szCs w:val="20"/>
          <w:lang w:val="en-GB"/>
        </w:rPr>
        <w:t>p</w:t>
      </w:r>
      <w:r w:rsidRPr="00D7106D">
        <w:rPr>
          <w:rFonts w:cs="Times New Roman"/>
          <w:szCs w:val="20"/>
          <w:lang w:val="en-GB"/>
        </w:rPr>
        <w:t> = 0.17), with moderate heterogeneity (</w:t>
      </w:r>
      <w:r w:rsidRPr="00D7106D">
        <w:rPr>
          <w:rFonts w:cs="Times New Roman"/>
          <w:i/>
          <w:iCs/>
          <w:szCs w:val="20"/>
          <w:lang w:val="en-GB"/>
        </w:rPr>
        <w:t>p</w:t>
      </w:r>
      <w:r w:rsidRPr="00D7106D">
        <w:rPr>
          <w:rFonts w:cs="Times New Roman"/>
          <w:szCs w:val="20"/>
          <w:lang w:val="en-GB"/>
        </w:rPr>
        <w:t> = 0.13, I</w:t>
      </w:r>
      <w:r w:rsidRPr="00D7106D">
        <w:rPr>
          <w:rFonts w:cs="Times New Roman"/>
          <w:szCs w:val="20"/>
          <w:vertAlign w:val="superscript"/>
          <w:lang w:val="en-GB"/>
        </w:rPr>
        <w:t>2</w:t>
      </w:r>
      <w:r w:rsidRPr="00D7106D">
        <w:rPr>
          <w:rFonts w:cs="Times New Roman"/>
          <w:szCs w:val="20"/>
          <w:lang w:val="en-GB"/>
        </w:rPr>
        <w:t> = 52%). </w:t>
      </w:r>
    </w:p>
    <w:p w14:paraId="7A27376E" w14:textId="77777777" w:rsidR="00D7106D" w:rsidRPr="00D7106D" w:rsidRDefault="00D7106D" w:rsidP="00D7106D">
      <w:pPr>
        <w:spacing w:after="0"/>
        <w:rPr>
          <w:rFonts w:cs="Times New Roman"/>
          <w:szCs w:val="20"/>
          <w:lang w:val="en-GB"/>
        </w:rPr>
      </w:pPr>
      <w:r w:rsidRPr="00D7106D">
        <w:rPr>
          <w:rFonts w:cs="Times New Roman"/>
          <w:b/>
          <w:bCs/>
          <w:szCs w:val="20"/>
          <w:lang w:val="en-GB"/>
        </w:rPr>
        <w:t>Conclusions</w:t>
      </w:r>
      <w:r w:rsidRPr="00D7106D">
        <w:rPr>
          <w:rFonts w:cs="Times New Roman"/>
          <w:szCs w:val="20"/>
          <w:lang w:val="en-GB"/>
        </w:rPr>
        <w:t>: This meta-analysis provides preliminary pooled estimates indicating a potentially increased prevalence of carpal tunnel syndrome in individuals with PD. Although the findings suggest a possible association, clinicians should maintain increased vigilance for CTS symptoms in patients with PD presenting with upper-limb sensory or motor complaints. From a biomechanical and functional perspective, these findings highlight the importance of routine upper-limb screening and the implementation of rehabilitation strategies targeting hand use, dexterity, and sensorimotor control within physiotherapy practice. Further high-quality studies with larger, well-characterised samples are required to confirm this relationship and clarify its clinical and functional implications.</w:t>
      </w:r>
    </w:p>
    <w:p w14:paraId="265BADCB" w14:textId="77777777" w:rsidR="00D7106D" w:rsidRDefault="00D7106D" w:rsidP="00D7106D">
      <w:pPr>
        <w:spacing w:after="0"/>
        <w:rPr>
          <w:rFonts w:cs="Times New Roman"/>
          <w:szCs w:val="20"/>
        </w:rPr>
      </w:pPr>
    </w:p>
    <w:p w14:paraId="4D8675AA" w14:textId="12281288" w:rsidR="00D7106D" w:rsidRPr="00D7106D" w:rsidRDefault="00D7106D" w:rsidP="00D7106D">
      <w:pPr>
        <w:pStyle w:val="ListParagraph"/>
        <w:numPr>
          <w:ilvl w:val="0"/>
          <w:numId w:val="35"/>
        </w:numPr>
        <w:spacing w:after="0"/>
        <w:rPr>
          <w:rStyle w:val="Hyperlink"/>
          <w:rFonts w:cs="Times New Roman"/>
          <w:szCs w:val="20"/>
          <w:lang w:val="en-ZA"/>
        </w:rPr>
      </w:pPr>
      <w:hyperlink r:id="rId41" w:tgtFrame="_blank" w:history="1">
        <w:r w:rsidRPr="00D7106D">
          <w:rPr>
            <w:rStyle w:val="Hyperlink"/>
            <w:rFonts w:cs="Times New Roman"/>
            <w:szCs w:val="20"/>
            <w:lang w:val="en-GB"/>
          </w:rPr>
          <w:t>The Impact of Dual-Task Training Versus Single-Task Training on Cognitive and Physical Function in Neurologically Impaired Individuals: A Systematic Review and Meta-Analysis of Randomized Controlled Trials.</w:t>
        </w:r>
      </w:hyperlink>
      <w:r w:rsidRPr="00D7106D">
        <w:rPr>
          <w:rFonts w:cs="Times New Roman"/>
          <w:szCs w:val="20"/>
          <w:lang w:val="en-ZA"/>
        </w:rPr>
        <w:fldChar w:fldCharType="begin"/>
      </w:r>
      <w:r w:rsidRPr="00D7106D">
        <w:rPr>
          <w:rFonts w:cs="Times New Roman"/>
          <w:szCs w:val="20"/>
          <w:lang w:val="en-ZA"/>
        </w:rPr>
        <w:instrText>HYPERLINK "https://pubmed.ncbi.nlm.nih.gov/41678769/"</w:instrText>
      </w:r>
      <w:r w:rsidRPr="00D7106D">
        <w:rPr>
          <w:rFonts w:cs="Times New Roman"/>
          <w:szCs w:val="20"/>
          <w:lang w:val="en-ZA"/>
        </w:rPr>
      </w:r>
      <w:r w:rsidRPr="00D7106D">
        <w:rPr>
          <w:rFonts w:cs="Times New Roman"/>
          <w:szCs w:val="20"/>
          <w:lang w:val="en-ZA"/>
        </w:rPr>
        <w:fldChar w:fldCharType="separate"/>
      </w:r>
    </w:p>
    <w:p w14:paraId="3A5CDA97" w14:textId="596F3266" w:rsidR="00D7106D" w:rsidRPr="00D7106D" w:rsidRDefault="00D7106D" w:rsidP="00D7106D">
      <w:pPr>
        <w:spacing w:after="0"/>
        <w:rPr>
          <w:rFonts w:cs="Times New Roman"/>
          <w:szCs w:val="20"/>
          <w:lang w:val="en-ZA"/>
        </w:rPr>
      </w:pPr>
      <w:r w:rsidRPr="00D7106D">
        <w:rPr>
          <w:rFonts w:cs="Times New Roman"/>
          <w:szCs w:val="20"/>
          <w:lang w:val="en-ZA"/>
        </w:rPr>
        <w:fldChar w:fldCharType="end"/>
      </w:r>
      <w:r w:rsidRPr="00D7106D">
        <w:rPr>
          <w:rFonts w:cs="Times New Roman"/>
          <w:szCs w:val="20"/>
          <w:lang w:val="en-ZA"/>
        </w:rPr>
        <w:t xml:space="preserve"> Zainol Abidin N, Mansor NS, Ahmad Yusof H, et al., </w:t>
      </w:r>
    </w:p>
    <w:p w14:paraId="173AB8E9" w14:textId="77777777" w:rsidR="00D7106D" w:rsidRPr="00D7106D" w:rsidRDefault="00D7106D" w:rsidP="00D7106D">
      <w:pPr>
        <w:spacing w:after="0"/>
        <w:rPr>
          <w:rFonts w:cs="Times New Roman"/>
          <w:szCs w:val="20"/>
          <w:lang w:val="en-ZA"/>
        </w:rPr>
      </w:pPr>
      <w:r w:rsidRPr="00D7106D">
        <w:rPr>
          <w:rFonts w:cs="Times New Roman"/>
          <w:szCs w:val="20"/>
          <w:lang w:val="en-ZA"/>
        </w:rPr>
        <w:t xml:space="preserve">Percept Mot Skills. 2026 Feb 12:315125261425126. </w:t>
      </w:r>
      <w:proofErr w:type="spellStart"/>
      <w:r w:rsidRPr="00D7106D">
        <w:rPr>
          <w:rFonts w:cs="Times New Roman"/>
          <w:szCs w:val="20"/>
          <w:lang w:val="en-ZA"/>
        </w:rPr>
        <w:t>doi</w:t>
      </w:r>
      <w:proofErr w:type="spellEnd"/>
      <w:r w:rsidRPr="00D7106D">
        <w:rPr>
          <w:rFonts w:cs="Times New Roman"/>
          <w:szCs w:val="20"/>
          <w:lang w:val="en-ZA"/>
        </w:rPr>
        <w:t>: 10.1177/00315125261425126.</w:t>
      </w:r>
    </w:p>
    <w:p w14:paraId="42D48542" w14:textId="77777777" w:rsidR="00D7106D" w:rsidRPr="00D7106D" w:rsidRDefault="00D7106D" w:rsidP="00D7106D">
      <w:pPr>
        <w:spacing w:after="0"/>
        <w:rPr>
          <w:rFonts w:cs="Times New Roman"/>
          <w:szCs w:val="20"/>
          <w:lang w:val="en-GB"/>
        </w:rPr>
      </w:pPr>
      <w:r w:rsidRPr="00D7106D">
        <w:rPr>
          <w:rFonts w:cs="Times New Roman"/>
          <w:b/>
          <w:bCs/>
          <w:szCs w:val="20"/>
          <w:lang w:val="en-GB"/>
        </w:rPr>
        <w:t>Results</w:t>
      </w:r>
      <w:r w:rsidRPr="00D7106D">
        <w:rPr>
          <w:rFonts w:cs="Times New Roman"/>
          <w:szCs w:val="20"/>
          <w:lang w:val="en-GB"/>
        </w:rPr>
        <w:t>: Narrative synthesis indicated that DTT consistently improved executive function, attention, memory, gait performance, balance, and quality of life across studies. Nevertheless, the meta-analysis of five RCTs revealed a small, non-significant pooled effect on gait speed (Hedges' g = 0.12; 95% CI: -0.57 to 0.82; </w:t>
      </w:r>
      <w:r w:rsidRPr="00D7106D">
        <w:rPr>
          <w:rFonts w:cs="Times New Roman"/>
          <w:i/>
          <w:iCs/>
          <w:szCs w:val="20"/>
          <w:lang w:val="en-GB"/>
        </w:rPr>
        <w:t>p</w:t>
      </w:r>
      <w:r w:rsidRPr="00D7106D">
        <w:rPr>
          <w:rFonts w:cs="Times New Roman"/>
          <w:szCs w:val="20"/>
          <w:lang w:val="en-GB"/>
        </w:rPr>
        <w:t> = .74) with substantial heterogeneity (I</w:t>
      </w:r>
      <w:r w:rsidRPr="00D7106D">
        <w:rPr>
          <w:rFonts w:cs="Times New Roman"/>
          <w:szCs w:val="20"/>
          <w:vertAlign w:val="superscript"/>
          <w:lang w:val="en-GB"/>
        </w:rPr>
        <w:t>2</w:t>
      </w:r>
      <w:r w:rsidRPr="00D7106D">
        <w:rPr>
          <w:rFonts w:cs="Times New Roman"/>
          <w:szCs w:val="20"/>
          <w:lang w:val="en-GB"/>
        </w:rPr>
        <w:t> = 69.05%). Egger's test showed no evidence of publication bias (</w:t>
      </w:r>
      <w:r w:rsidRPr="00D7106D">
        <w:rPr>
          <w:rFonts w:cs="Times New Roman"/>
          <w:i/>
          <w:iCs/>
          <w:szCs w:val="20"/>
          <w:lang w:val="en-GB"/>
        </w:rPr>
        <w:t>p</w:t>
      </w:r>
      <w:r w:rsidRPr="00D7106D">
        <w:rPr>
          <w:rFonts w:cs="Times New Roman"/>
          <w:szCs w:val="20"/>
          <w:lang w:val="en-GB"/>
        </w:rPr>
        <w:t> = .5227). Diagnosis-specific patterns emerged: participants with Parkinson's disease demonstrated notable gains in gait and quality of life, whereas those with mild cognitive impairment improved in executive function and instrumental activities of daily living (IADLs).</w:t>
      </w:r>
    </w:p>
    <w:p w14:paraId="6E08FACF" w14:textId="77777777" w:rsidR="00D7106D" w:rsidRPr="00D7106D" w:rsidRDefault="00D7106D" w:rsidP="00D7106D">
      <w:pPr>
        <w:spacing w:after="0"/>
        <w:rPr>
          <w:rFonts w:cs="Times New Roman"/>
          <w:szCs w:val="20"/>
          <w:lang w:val="en-GB"/>
        </w:rPr>
      </w:pPr>
      <w:r w:rsidRPr="00D7106D">
        <w:rPr>
          <w:rFonts w:cs="Times New Roman"/>
          <w:b/>
          <w:bCs/>
          <w:szCs w:val="20"/>
          <w:lang w:val="en-GB"/>
        </w:rPr>
        <w:t>Conclusions:</w:t>
      </w:r>
      <w:r w:rsidRPr="00D7106D">
        <w:rPr>
          <w:rFonts w:cs="Times New Roman"/>
          <w:szCs w:val="20"/>
          <w:lang w:val="en-GB"/>
        </w:rPr>
        <w:t xml:space="preserve"> DTT appears to offer condition-dependent benefits for gait and executive function but does not demonstrate overall superiority to STT based on current evidence. Its multidomain effects likely reflect improvements in attentional control, motor automaticity, and cognitive-motor integration. Future large-scale, diagnosis-specific trials </w:t>
      </w:r>
      <w:r w:rsidRPr="00D7106D">
        <w:rPr>
          <w:rFonts w:cs="Times New Roman"/>
          <w:szCs w:val="20"/>
          <w:lang w:val="en-GB"/>
        </w:rPr>
        <w:lastRenderedPageBreak/>
        <w:t>using standardized outcomes and mechanistic endpoints are needed to clarify DTT's efficacy and guide implementation.</w:t>
      </w:r>
    </w:p>
    <w:p w14:paraId="2602B29A" w14:textId="77777777" w:rsidR="00D7106D" w:rsidRDefault="00D7106D" w:rsidP="00D7106D">
      <w:pPr>
        <w:spacing w:after="0"/>
        <w:rPr>
          <w:rFonts w:cs="Times New Roman"/>
          <w:szCs w:val="20"/>
        </w:rPr>
      </w:pPr>
    </w:p>
    <w:p w14:paraId="0A600B3E" w14:textId="2FD553F5" w:rsidR="00D7106D" w:rsidRPr="00D7106D" w:rsidRDefault="00D7106D" w:rsidP="00D7106D">
      <w:pPr>
        <w:pStyle w:val="ListParagraph"/>
        <w:numPr>
          <w:ilvl w:val="0"/>
          <w:numId w:val="35"/>
        </w:numPr>
        <w:spacing w:after="0"/>
        <w:rPr>
          <w:rStyle w:val="Hyperlink"/>
          <w:rFonts w:cs="Times New Roman"/>
          <w:szCs w:val="20"/>
          <w:lang w:val="en-ZA"/>
        </w:rPr>
      </w:pPr>
      <w:hyperlink r:id="rId42" w:tgtFrame="_blank" w:history="1">
        <w:r w:rsidRPr="00D7106D">
          <w:rPr>
            <w:rStyle w:val="Hyperlink"/>
            <w:rFonts w:cs="Times New Roman"/>
            <w:szCs w:val="20"/>
            <w:lang w:val="en-GB"/>
          </w:rPr>
          <w:t>Physical Activity Patterns and Brain Health: A Systematic Review About Weekend Warrior vs Regular Exercise on Neuropsychiatric Disorders.</w:t>
        </w:r>
      </w:hyperlink>
      <w:r w:rsidRPr="00D7106D">
        <w:rPr>
          <w:rFonts w:cs="Times New Roman"/>
          <w:szCs w:val="20"/>
          <w:lang w:val="en-ZA"/>
        </w:rPr>
        <w:t xml:space="preserve"> </w:t>
      </w:r>
      <w:r w:rsidRPr="00D7106D">
        <w:rPr>
          <w:rFonts w:cs="Times New Roman"/>
          <w:szCs w:val="20"/>
          <w:lang w:val="en-ZA"/>
        </w:rPr>
        <w:fldChar w:fldCharType="begin"/>
      </w:r>
      <w:r w:rsidRPr="00D7106D">
        <w:rPr>
          <w:rFonts w:cs="Times New Roman"/>
          <w:szCs w:val="20"/>
          <w:lang w:val="en-ZA"/>
        </w:rPr>
        <w:instrText>HYPERLINK "https://pmc.ncbi.nlm.nih.gov/articles/PMC12883349/"</w:instrText>
      </w:r>
      <w:r w:rsidRPr="00D7106D">
        <w:rPr>
          <w:rFonts w:cs="Times New Roman"/>
          <w:szCs w:val="20"/>
          <w:lang w:val="en-ZA"/>
        </w:rPr>
      </w:r>
      <w:r w:rsidRPr="00D7106D">
        <w:rPr>
          <w:rFonts w:cs="Times New Roman"/>
          <w:szCs w:val="20"/>
          <w:lang w:val="en-ZA"/>
        </w:rPr>
        <w:fldChar w:fldCharType="separate"/>
      </w:r>
      <w:r w:rsidRPr="00D7106D">
        <w:rPr>
          <w:rStyle w:val="Hyperlink"/>
          <w:rFonts w:cs="Times New Roman"/>
          <w:color w:val="EE0000"/>
          <w:szCs w:val="20"/>
          <w:lang w:val="en-ZA"/>
        </w:rPr>
        <w:t>Free Full Text</w:t>
      </w:r>
    </w:p>
    <w:p w14:paraId="219C076B" w14:textId="2C7CD860" w:rsidR="00D7106D" w:rsidRPr="00D7106D" w:rsidRDefault="00D7106D" w:rsidP="00D7106D">
      <w:pPr>
        <w:spacing w:after="0"/>
        <w:rPr>
          <w:rFonts w:cs="Times New Roman"/>
          <w:szCs w:val="20"/>
          <w:lang w:val="en-ZA"/>
        </w:rPr>
      </w:pPr>
      <w:r w:rsidRPr="00D7106D">
        <w:rPr>
          <w:rFonts w:cs="Times New Roman"/>
          <w:szCs w:val="20"/>
          <w:lang w:val="en-ZA"/>
        </w:rPr>
        <w:fldChar w:fldCharType="end"/>
      </w:r>
      <w:r w:rsidRPr="00D7106D">
        <w:rPr>
          <w:rFonts w:cs="Times New Roman"/>
          <w:szCs w:val="20"/>
          <w:lang w:val="en-ZA"/>
        </w:rPr>
        <w:t xml:space="preserve"> Moraes de Oliveira G, Nardelli da Silva AB, Reis Barreto ES, e</w:t>
      </w:r>
      <w:r w:rsidRPr="00D7106D">
        <w:rPr>
          <w:rFonts w:cs="Times New Roman"/>
          <w:szCs w:val="20"/>
        </w:rPr>
        <w:t xml:space="preserve">t al., </w:t>
      </w:r>
    </w:p>
    <w:p w14:paraId="79D548B1" w14:textId="77777777" w:rsidR="00D7106D" w:rsidRPr="00D7106D" w:rsidRDefault="00D7106D" w:rsidP="00D7106D">
      <w:pPr>
        <w:spacing w:after="0"/>
        <w:rPr>
          <w:rFonts w:cs="Times New Roman"/>
          <w:szCs w:val="20"/>
          <w:lang w:val="en-ZA"/>
        </w:rPr>
      </w:pPr>
      <w:r w:rsidRPr="00D7106D">
        <w:rPr>
          <w:rFonts w:cs="Times New Roman"/>
          <w:szCs w:val="20"/>
          <w:lang w:val="en-ZA"/>
        </w:rPr>
        <w:t xml:space="preserve">Am J Lifestyle Med. 2026 Feb 8:15598276261424194. </w:t>
      </w:r>
      <w:proofErr w:type="spellStart"/>
      <w:r w:rsidRPr="00D7106D">
        <w:rPr>
          <w:rFonts w:cs="Times New Roman"/>
          <w:szCs w:val="20"/>
          <w:lang w:val="en-ZA"/>
        </w:rPr>
        <w:t>doi</w:t>
      </w:r>
      <w:proofErr w:type="spellEnd"/>
      <w:r w:rsidRPr="00D7106D">
        <w:rPr>
          <w:rFonts w:cs="Times New Roman"/>
          <w:szCs w:val="20"/>
          <w:lang w:val="en-ZA"/>
        </w:rPr>
        <w:t>: 10.1177/15598276261424194.</w:t>
      </w:r>
    </w:p>
    <w:p w14:paraId="0652B0AE" w14:textId="77777777" w:rsidR="00D7106D" w:rsidRPr="00D7106D" w:rsidRDefault="00D7106D" w:rsidP="00D7106D">
      <w:pPr>
        <w:spacing w:after="0"/>
        <w:rPr>
          <w:rFonts w:cs="Times New Roman"/>
          <w:b/>
          <w:bCs/>
          <w:szCs w:val="20"/>
          <w:lang w:val="en-ZA"/>
        </w:rPr>
      </w:pPr>
      <w:r w:rsidRPr="00D7106D">
        <w:rPr>
          <w:rFonts w:cs="Times New Roman"/>
          <w:b/>
          <w:bCs/>
          <w:szCs w:val="20"/>
        </w:rPr>
        <w:t>Unstructured Abstract</w:t>
      </w:r>
    </w:p>
    <w:p w14:paraId="2D50B8C9" w14:textId="77777777" w:rsidR="00D7106D" w:rsidRPr="00D7106D" w:rsidRDefault="00D7106D" w:rsidP="00D7106D">
      <w:pPr>
        <w:spacing w:after="0"/>
        <w:rPr>
          <w:rFonts w:cs="Times New Roman"/>
          <w:szCs w:val="20"/>
          <w:lang w:val="en-GB"/>
        </w:rPr>
      </w:pPr>
      <w:r w:rsidRPr="00D7106D">
        <w:rPr>
          <w:rFonts w:cs="Times New Roman"/>
          <w:szCs w:val="20"/>
          <w:lang w:val="en-GB"/>
        </w:rPr>
        <w:t xml:space="preserve">Twelve studies comprising 614,882 participants met inclusion criteria. Both WW and regular activity were consistently associated with reduced risks of depression (adjusted OR/HR 0.46-0.79), psychological distress (OR </w:t>
      </w:r>
      <w:r w:rsidRPr="00D7106D">
        <w:rPr>
          <w:rFonts w:ascii="Cambria Math" w:hAnsi="Cambria Math" w:cs="Cambria Math"/>
          <w:szCs w:val="20"/>
          <w:lang w:val="en-GB"/>
        </w:rPr>
        <w:t>∼</w:t>
      </w:r>
      <w:r w:rsidRPr="00D7106D">
        <w:rPr>
          <w:rFonts w:cs="Times New Roman"/>
          <w:szCs w:val="20"/>
          <w:lang w:val="en-GB"/>
        </w:rPr>
        <w:t>0.68), dementia (HR 0.68-0.75), and Parkinson's disease/parkinsonism (HR 0.44-0.69 regular; 0.47-0.58 WW) compared with inactivity. Three studies suggested protective associations with anxiety (OR/HR 0.63-0.77). Cognitive performance was higher among active individuals, with some subgroups (elderly women, sedentary adults) showing slightly greater benefit with WW. No study demonstrated superiority of one activity pattern over the other, and even subthreshold physical activity conveyed measurable protection. Risk of bias was generally low to moderate. Achieving ≥150 minutes of moderate-to-vigorous physical activity weekly, whether condensed into one to two WW sessions or distributed across several days, provides comparable neuroprotective benefits. These findings support flexible, patient-</w:t>
      </w:r>
      <w:proofErr w:type="spellStart"/>
      <w:r w:rsidRPr="00D7106D">
        <w:rPr>
          <w:rFonts w:cs="Times New Roman"/>
          <w:szCs w:val="20"/>
          <w:lang w:val="en-GB"/>
        </w:rPr>
        <w:t>centered</w:t>
      </w:r>
      <w:proofErr w:type="spellEnd"/>
      <w:r w:rsidRPr="00D7106D">
        <w:rPr>
          <w:rFonts w:cs="Times New Roman"/>
          <w:szCs w:val="20"/>
          <w:lang w:val="en-GB"/>
        </w:rPr>
        <w:t xml:space="preserve"> exercise recommendations and reinforce that some activity is always better than none.</w:t>
      </w:r>
    </w:p>
    <w:p w14:paraId="73965642" w14:textId="77777777" w:rsidR="00D7106D" w:rsidRDefault="00D7106D" w:rsidP="00D7106D">
      <w:pPr>
        <w:spacing w:after="0"/>
        <w:rPr>
          <w:rFonts w:cs="Times New Roman"/>
          <w:szCs w:val="20"/>
        </w:rPr>
      </w:pPr>
    </w:p>
    <w:p w14:paraId="0CCDCBFE" w14:textId="35AAC6B8" w:rsidR="00D7106D" w:rsidRPr="00D7106D" w:rsidRDefault="00D7106D" w:rsidP="00D7106D">
      <w:pPr>
        <w:pStyle w:val="ListParagraph"/>
        <w:numPr>
          <w:ilvl w:val="0"/>
          <w:numId w:val="35"/>
        </w:numPr>
        <w:spacing w:after="0"/>
        <w:rPr>
          <w:rFonts w:cs="Times New Roman"/>
          <w:szCs w:val="20"/>
          <w:lang w:val="en-GB"/>
        </w:rPr>
      </w:pPr>
      <w:hyperlink r:id="rId43" w:tgtFrame="_blank" w:history="1">
        <w:r w:rsidRPr="00D7106D">
          <w:rPr>
            <w:rStyle w:val="Hyperlink"/>
            <w:rFonts w:cs="Times New Roman"/>
            <w:szCs w:val="20"/>
            <w:lang w:val="en-GB"/>
          </w:rPr>
          <w:t>Optimal exercise modalities and doses for improving quality of life in patients with Parkinson's disease: a network meta-analysis and dose-response study.</w:t>
        </w:r>
      </w:hyperlink>
    </w:p>
    <w:p w14:paraId="4E178200" w14:textId="697824E0" w:rsidR="00D7106D" w:rsidRPr="00D7106D" w:rsidRDefault="00D7106D" w:rsidP="00D7106D">
      <w:pPr>
        <w:spacing w:after="0"/>
        <w:rPr>
          <w:rFonts w:cs="Times New Roman"/>
          <w:szCs w:val="20"/>
          <w:lang w:val="en-ZA"/>
        </w:rPr>
      </w:pPr>
      <w:r w:rsidRPr="00D7106D">
        <w:rPr>
          <w:rFonts w:cs="Times New Roman"/>
          <w:szCs w:val="20"/>
          <w:lang w:val="en-ZA"/>
        </w:rPr>
        <w:t xml:space="preserve">Zeng B, Wang H, Chen J, et al., </w:t>
      </w:r>
    </w:p>
    <w:p w14:paraId="76E312B6" w14:textId="77777777" w:rsidR="00D7106D" w:rsidRPr="00D7106D" w:rsidRDefault="00D7106D" w:rsidP="00D7106D">
      <w:pPr>
        <w:spacing w:after="0"/>
        <w:rPr>
          <w:rFonts w:cs="Times New Roman"/>
          <w:szCs w:val="20"/>
          <w:lang w:val="en-ZA"/>
        </w:rPr>
      </w:pPr>
      <w:r w:rsidRPr="00D7106D">
        <w:rPr>
          <w:rFonts w:cs="Times New Roman"/>
          <w:szCs w:val="20"/>
          <w:lang w:val="en-ZA"/>
        </w:rPr>
        <w:t xml:space="preserve">J Neurol. 2026 Feb 9;273(2):123. </w:t>
      </w:r>
      <w:proofErr w:type="spellStart"/>
      <w:r w:rsidRPr="00D7106D">
        <w:rPr>
          <w:rFonts w:cs="Times New Roman"/>
          <w:szCs w:val="20"/>
          <w:lang w:val="en-ZA"/>
        </w:rPr>
        <w:t>doi</w:t>
      </w:r>
      <w:proofErr w:type="spellEnd"/>
      <w:r w:rsidRPr="00D7106D">
        <w:rPr>
          <w:rFonts w:cs="Times New Roman"/>
          <w:szCs w:val="20"/>
          <w:lang w:val="en-ZA"/>
        </w:rPr>
        <w:t>: 10.1007/s00415-026-13674-8.</w:t>
      </w:r>
    </w:p>
    <w:p w14:paraId="0051D2B9" w14:textId="77777777" w:rsidR="00D7106D" w:rsidRPr="00D7106D" w:rsidRDefault="00D7106D" w:rsidP="00D7106D">
      <w:pPr>
        <w:spacing w:after="0"/>
        <w:rPr>
          <w:rFonts w:cs="Times New Roman"/>
          <w:szCs w:val="20"/>
          <w:lang w:val="en-ZA"/>
        </w:rPr>
      </w:pPr>
      <w:r w:rsidRPr="00D7106D">
        <w:rPr>
          <w:rFonts w:cs="Times New Roman"/>
          <w:b/>
          <w:bCs/>
          <w:szCs w:val="20"/>
          <w:lang w:val="en-ZA"/>
        </w:rPr>
        <w:t>Results: </w:t>
      </w:r>
      <w:r w:rsidRPr="00D7106D">
        <w:rPr>
          <w:rFonts w:cs="Times New Roman"/>
          <w:szCs w:val="20"/>
          <w:lang w:val="en-ZA"/>
        </w:rPr>
        <w:t xml:space="preserve">A total of 44 randomized controlled trials (RCTs), including 2,273 patients with PD, were </w:t>
      </w:r>
      <w:proofErr w:type="spellStart"/>
      <w:r w:rsidRPr="00D7106D">
        <w:rPr>
          <w:rFonts w:cs="Times New Roman"/>
          <w:szCs w:val="20"/>
          <w:lang w:val="en-ZA"/>
        </w:rPr>
        <w:t>analyzed</w:t>
      </w:r>
      <w:proofErr w:type="spellEnd"/>
      <w:r w:rsidRPr="00D7106D">
        <w:rPr>
          <w:rFonts w:cs="Times New Roman"/>
          <w:szCs w:val="20"/>
          <w:lang w:val="en-ZA"/>
        </w:rPr>
        <w:t>. The network meta-analysis showed that aerobic exercise (AE) (SMD = - 0.66; 95% CI: - 0.93 to - 0.39; P &lt; 0.01), aerobic and resistance training (ART) (SMD = - 0.71; 95% CI: - 1.09 to - 0.33; P &lt; 0.01), mind-body exercise (MBE) (SMD = - 0.73; 95% CI: - 1.04 to - 0.43; P &lt; 0.01), and resistance training (RT) (SMD = - 0.66; 95% CI: - 1.02 to - 0.29; P &lt; 0.01) all significantly improved quality of life, whereas balance and resistance training (BRT) and stretching training (ST) showed no statistically significant effects. Cumulative ranking probabilities indicated that MBE had the highest probability of being the most effective intervention (80.6%), followed by ART (76.7%), AE (70.5%), and RT (69.7%), while ST (30.7%) and BRT (18.3%) ranked lower. Dose-response analysis revealed a nonlinear U-shaped relationship between total exercise dose and improvement in quality of life, with an optimal dose of 950 MET-min/week. The optimal doses varied across exercise modalities, ranging from 550 MET-min/week for MBE to 920 MET-min/week for AE.</w:t>
      </w:r>
    </w:p>
    <w:p w14:paraId="2773024D" w14:textId="6674C524" w:rsidR="00763C6A" w:rsidRPr="00763C6A" w:rsidRDefault="00D7106D" w:rsidP="00D7106D">
      <w:pPr>
        <w:spacing w:after="0"/>
        <w:rPr>
          <w:rFonts w:cs="Times New Roman"/>
          <w:szCs w:val="20"/>
        </w:rPr>
      </w:pPr>
      <w:r w:rsidRPr="00D7106D">
        <w:rPr>
          <w:rFonts w:cs="Times New Roman"/>
          <w:b/>
          <w:bCs/>
          <w:szCs w:val="20"/>
          <w:lang w:val="en-ZA"/>
        </w:rPr>
        <w:t>Conclusions: </w:t>
      </w:r>
      <w:r w:rsidRPr="00D7106D">
        <w:rPr>
          <w:rFonts w:cs="Times New Roman"/>
          <w:szCs w:val="20"/>
          <w:lang w:val="en-ZA"/>
        </w:rPr>
        <w:t>Exercise interventions can significantly improve quality of life in patients with PD, with MBE demonstrating the greatest benefit. The U-shaped association between exercise dose and quality of life suggests that a moderate amount of exercise is most conducive to improving quality of life. This study provides evidence supporting non-pharmacological treatment strategies for PD and may inform the formulation of individualized</w:t>
      </w:r>
      <w:r w:rsidR="0095072B">
        <w:rPr>
          <w:rFonts w:cs="Times New Roman"/>
          <w:szCs w:val="20"/>
          <w:lang w:val="en-ZA"/>
        </w:rPr>
        <w:t xml:space="preserve"> exercise prescription</w:t>
      </w:r>
      <w:r w:rsidR="006F10EA">
        <w:rPr>
          <w:rFonts w:cs="Times New Roman"/>
          <w:szCs w:val="20"/>
          <w:lang w:val="en-ZA"/>
        </w:rPr>
        <w:t>.</w:t>
      </w:r>
    </w:p>
    <w:bookmarkStart w:id="36" w:name="_Hlk97705423"/>
    <w:bookmarkStart w:id="37" w:name="_Hlk97201269"/>
    <w:bookmarkEnd w:id="29"/>
    <w:bookmarkEnd w:id="35"/>
    <w:p w14:paraId="2D7661FB" w14:textId="3EEF3927" w:rsidR="008F6603" w:rsidRPr="00496C59" w:rsidRDefault="00101D3A" w:rsidP="00A57366">
      <w:pPr>
        <w:spacing w:after="240"/>
        <w:jc w:val="left"/>
        <w:rPr>
          <w:rFonts w:cs="Times New Roman"/>
          <w:szCs w:val="20"/>
          <w:lang w:val="en-GB"/>
        </w:rPr>
      </w:pPr>
      <w:r w:rsidRPr="00496C59">
        <w:rPr>
          <w:rStyle w:val="Hyperlink"/>
          <w:rFonts w:cs="Times New Roman"/>
          <w:szCs w:val="20"/>
        </w:rPr>
        <w:fldChar w:fldCharType="begin"/>
      </w:r>
      <w:r w:rsidRPr="00496C59">
        <w:rPr>
          <w:rStyle w:val="Hyperlink"/>
          <w:rFonts w:cs="Times New Roman"/>
          <w:szCs w:val="20"/>
        </w:rPr>
        <w:instrText xml:space="preserve"> HYPERLINK \l "content" </w:instrText>
      </w:r>
      <w:r w:rsidRPr="00496C59">
        <w:rPr>
          <w:rStyle w:val="Hyperlink"/>
          <w:rFonts w:cs="Times New Roman"/>
          <w:szCs w:val="20"/>
        </w:rPr>
      </w:r>
      <w:r w:rsidRPr="00496C59">
        <w:rPr>
          <w:rStyle w:val="Hyperlink"/>
          <w:rFonts w:cs="Times New Roman"/>
          <w:szCs w:val="20"/>
        </w:rPr>
        <w:fldChar w:fldCharType="separate"/>
      </w:r>
      <w:r w:rsidR="008F6603" w:rsidRPr="00496C59">
        <w:rPr>
          <w:rStyle w:val="Hyperlink"/>
          <w:rFonts w:cs="Times New Roman"/>
          <w:szCs w:val="20"/>
        </w:rPr>
        <w:t>Back to content</w:t>
      </w:r>
      <w:r w:rsidRPr="00496C59">
        <w:rPr>
          <w:rStyle w:val="Hyperlink"/>
          <w:rFonts w:cs="Times New Roman"/>
          <w:szCs w:val="20"/>
        </w:rPr>
        <w:fldChar w:fldCharType="end"/>
      </w:r>
    </w:p>
    <w:p w14:paraId="47361D1E" w14:textId="11E18944" w:rsidR="007C5583" w:rsidRPr="00496C59" w:rsidRDefault="007C5583" w:rsidP="000E2233">
      <w:pPr>
        <w:pStyle w:val="Heading1"/>
        <w:rPr>
          <w:rFonts w:cs="Times New Roman"/>
          <w:b w:val="0"/>
          <w:sz w:val="20"/>
          <w:szCs w:val="20"/>
        </w:rPr>
      </w:pPr>
      <w:bookmarkStart w:id="38" w:name="Notes"/>
      <w:bookmarkStart w:id="39" w:name="_Ref97705020"/>
      <w:bookmarkEnd w:id="36"/>
      <w:bookmarkEnd w:id="37"/>
      <w:bookmarkEnd w:id="38"/>
      <w:r w:rsidRPr="00496C59">
        <w:rPr>
          <w:rFonts w:cs="Times New Roman"/>
          <w:b w:val="0"/>
          <w:sz w:val="20"/>
          <w:szCs w:val="20"/>
        </w:rPr>
        <w:t>Notes</w:t>
      </w:r>
      <w:bookmarkEnd w:id="39"/>
    </w:p>
    <w:p w14:paraId="09C8BF6A" w14:textId="01F4CC9F" w:rsidR="00CC678F" w:rsidRPr="00496C59" w:rsidRDefault="00EB1E8F" w:rsidP="00CC678F">
      <w:pPr>
        <w:rPr>
          <w:rFonts w:cs="Times New Roman"/>
          <w:i/>
          <w:iCs/>
          <w:szCs w:val="20"/>
        </w:rPr>
      </w:pPr>
      <w:r w:rsidRPr="00496C59">
        <w:rPr>
          <w:rFonts w:cs="Times New Roman"/>
          <w:i/>
          <w:iCs/>
          <w:szCs w:val="20"/>
        </w:rPr>
        <w:t>Please note that the link</w:t>
      </w:r>
      <w:r w:rsidR="007A144A" w:rsidRPr="00496C59">
        <w:rPr>
          <w:rFonts w:cs="Times New Roman"/>
          <w:i/>
          <w:iCs/>
          <w:szCs w:val="20"/>
        </w:rPr>
        <w:t>s</w:t>
      </w:r>
      <w:r w:rsidRPr="00496C59">
        <w:rPr>
          <w:rFonts w:cs="Times New Roman"/>
          <w:i/>
          <w:iCs/>
          <w:szCs w:val="20"/>
        </w:rPr>
        <w:t xml:space="preserve"> provided to each identified record should not be taken as endorsement of records. We have made reasonable efforts to ensure accuracy of all </w:t>
      </w:r>
      <w:proofErr w:type="gramStart"/>
      <w:r w:rsidR="00F20EA3" w:rsidRPr="00496C59">
        <w:rPr>
          <w:rFonts w:cs="Times New Roman"/>
          <w:i/>
          <w:iCs/>
          <w:szCs w:val="20"/>
        </w:rPr>
        <w:t>articles</w:t>
      </w:r>
      <w:r w:rsidRPr="00496C59">
        <w:rPr>
          <w:rFonts w:cs="Times New Roman"/>
          <w:i/>
          <w:iCs/>
          <w:szCs w:val="20"/>
        </w:rPr>
        <w:t>,</w:t>
      </w:r>
      <w:proofErr w:type="gramEnd"/>
      <w:r w:rsidRPr="00496C59">
        <w:rPr>
          <w:rFonts w:cs="Times New Roman"/>
          <w:i/>
          <w:iCs/>
          <w:szCs w:val="20"/>
        </w:rPr>
        <w:t xml:space="preserve"> however we cannot guarantee total accuracy</w:t>
      </w:r>
      <w:r w:rsidR="007A144A" w:rsidRPr="00496C59">
        <w:rPr>
          <w:rFonts w:cs="Times New Roman"/>
          <w:i/>
          <w:iCs/>
          <w:szCs w:val="20"/>
        </w:rPr>
        <w:t xml:space="preserve"> </w:t>
      </w:r>
      <w:r w:rsidRPr="00496C59">
        <w:rPr>
          <w:rFonts w:cs="Times New Roman"/>
          <w:i/>
          <w:iCs/>
          <w:szCs w:val="20"/>
        </w:rPr>
        <w:t xml:space="preserve">or completeness. Hence, as advised earlier, please </w:t>
      </w:r>
      <w:r w:rsidR="00F16CAC" w:rsidRPr="00496C59">
        <w:rPr>
          <w:rFonts w:cs="Times New Roman"/>
          <w:i/>
          <w:iCs/>
          <w:szCs w:val="20"/>
        </w:rPr>
        <w:t>endeavor</w:t>
      </w:r>
      <w:r w:rsidRPr="00496C59">
        <w:rPr>
          <w:rFonts w:cs="Times New Roman"/>
          <w:i/>
          <w:iCs/>
          <w:szCs w:val="20"/>
        </w:rPr>
        <w:t xml:space="preserve"> to critical</w:t>
      </w:r>
      <w:r w:rsidR="00340882" w:rsidRPr="00496C59">
        <w:rPr>
          <w:rFonts w:cs="Times New Roman"/>
          <w:i/>
          <w:iCs/>
          <w:szCs w:val="20"/>
        </w:rPr>
        <w:t>ly</w:t>
      </w:r>
      <w:r w:rsidRPr="00496C59">
        <w:rPr>
          <w:rFonts w:cs="Times New Roman"/>
          <w:i/>
          <w:iCs/>
          <w:szCs w:val="20"/>
        </w:rPr>
        <w:t xml:space="preserve"> appraise the papers before use.   </w:t>
      </w:r>
    </w:p>
    <w:p w14:paraId="19BDC852" w14:textId="72A62960" w:rsidR="00185908" w:rsidRPr="00496C59" w:rsidRDefault="00185908" w:rsidP="00702B64">
      <w:pPr>
        <w:spacing w:after="60"/>
        <w:rPr>
          <w:rFonts w:cs="Times New Roman"/>
          <w:szCs w:val="20"/>
        </w:rPr>
      </w:pPr>
      <w:r w:rsidRPr="00496C59">
        <w:rPr>
          <w:rFonts w:cs="Times New Roman"/>
          <w:szCs w:val="20"/>
        </w:rPr>
        <w:t xml:space="preserve">For all feedbacks, </w:t>
      </w:r>
      <w:r w:rsidR="00476FAB" w:rsidRPr="00496C59">
        <w:rPr>
          <w:rFonts w:cs="Times New Roman"/>
          <w:szCs w:val="20"/>
        </w:rPr>
        <w:t>comments,</w:t>
      </w:r>
      <w:r w:rsidRPr="00496C59">
        <w:rPr>
          <w:rFonts w:cs="Times New Roman"/>
          <w:szCs w:val="20"/>
        </w:rPr>
        <w:t xml:space="preserve"> and recommendations for improvements, please </w:t>
      </w:r>
      <w:r w:rsidR="00344532" w:rsidRPr="00496C59">
        <w:rPr>
          <w:rFonts w:cs="Times New Roman"/>
          <w:szCs w:val="20"/>
        </w:rPr>
        <w:t>contact us</w:t>
      </w:r>
      <w:hyperlink r:id="rId44" w:history="1"/>
    </w:p>
    <w:p w14:paraId="61DDAAB8" w14:textId="3F9D1025" w:rsidR="009663BD" w:rsidRPr="00496C59" w:rsidRDefault="009663BD" w:rsidP="00185908">
      <w:pPr>
        <w:spacing w:after="0" w:line="240" w:lineRule="auto"/>
        <w:rPr>
          <w:rFonts w:cs="Times New Roman"/>
          <w:szCs w:val="20"/>
        </w:rPr>
      </w:pPr>
      <w:r w:rsidRPr="00496C59">
        <w:rPr>
          <w:rFonts w:cs="Times New Roman"/>
          <w:szCs w:val="20"/>
        </w:rPr>
        <w:t xml:space="preserve">Evidence-based Practice Research </w:t>
      </w:r>
      <w:r w:rsidR="00C838D2" w:rsidRPr="00496C59">
        <w:rPr>
          <w:rFonts w:cs="Times New Roman"/>
          <w:szCs w:val="20"/>
        </w:rPr>
        <w:t>Group</w:t>
      </w:r>
    </w:p>
    <w:p w14:paraId="0E28F4CE" w14:textId="75448CE2" w:rsidR="00185908" w:rsidRPr="00496C59" w:rsidRDefault="00185908" w:rsidP="00185908">
      <w:pPr>
        <w:spacing w:after="0" w:line="240" w:lineRule="auto"/>
        <w:rPr>
          <w:rFonts w:cs="Times New Roman"/>
          <w:szCs w:val="20"/>
        </w:rPr>
      </w:pPr>
      <w:r w:rsidRPr="00496C59">
        <w:rPr>
          <w:rFonts w:cs="Times New Roman"/>
          <w:szCs w:val="20"/>
        </w:rPr>
        <w:t>Ghana Physiotherapy Association</w:t>
      </w:r>
    </w:p>
    <w:p w14:paraId="573AD45D" w14:textId="5D8263CB" w:rsidR="00185908" w:rsidRPr="00496C59" w:rsidRDefault="00185908" w:rsidP="00185908">
      <w:pPr>
        <w:spacing w:after="0" w:line="240" w:lineRule="auto"/>
        <w:rPr>
          <w:rFonts w:cs="Times New Roman"/>
          <w:szCs w:val="20"/>
        </w:rPr>
      </w:pPr>
      <w:r w:rsidRPr="00496C59">
        <w:rPr>
          <w:rFonts w:cs="Times New Roman"/>
          <w:szCs w:val="20"/>
        </w:rPr>
        <w:t>P. O. Box KB 77 Korle-</w:t>
      </w:r>
      <w:r w:rsidR="00476FAB" w:rsidRPr="00496C59">
        <w:rPr>
          <w:rFonts w:cs="Times New Roman"/>
          <w:szCs w:val="20"/>
        </w:rPr>
        <w:t>B</w:t>
      </w:r>
      <w:r w:rsidRPr="00496C59">
        <w:rPr>
          <w:rFonts w:cs="Times New Roman"/>
          <w:szCs w:val="20"/>
        </w:rPr>
        <w:t>u</w:t>
      </w:r>
      <w:r w:rsidR="00C838D2" w:rsidRPr="00496C59">
        <w:rPr>
          <w:rFonts w:cs="Times New Roman"/>
          <w:szCs w:val="20"/>
        </w:rPr>
        <w:t xml:space="preserve">, </w:t>
      </w:r>
      <w:r w:rsidRPr="00496C59">
        <w:rPr>
          <w:rFonts w:cs="Times New Roman"/>
          <w:szCs w:val="20"/>
        </w:rPr>
        <w:t>Accra, Ghana</w:t>
      </w:r>
    </w:p>
    <w:p w14:paraId="06F1DA24" w14:textId="3DD5C9DF" w:rsidR="00185908" w:rsidRPr="00496C59" w:rsidRDefault="00185908" w:rsidP="00185908">
      <w:pPr>
        <w:spacing w:after="0" w:line="240" w:lineRule="auto"/>
        <w:rPr>
          <w:rFonts w:cs="Times New Roman"/>
          <w:szCs w:val="20"/>
        </w:rPr>
      </w:pPr>
      <w:r w:rsidRPr="00496C59">
        <w:rPr>
          <w:rFonts w:cs="Times New Roman"/>
          <w:szCs w:val="20"/>
        </w:rPr>
        <w:t xml:space="preserve">Email: </w:t>
      </w:r>
      <w:hyperlink r:id="rId45" w:history="1">
        <w:r w:rsidR="00705F13" w:rsidRPr="00496C59">
          <w:rPr>
            <w:rStyle w:val="Hyperlink"/>
            <w:rFonts w:cs="Times New Roman"/>
            <w:szCs w:val="20"/>
          </w:rPr>
          <w:t>ebpresearchgroup_gpa@outlook.com</w:t>
        </w:r>
      </w:hyperlink>
      <w:r w:rsidR="00705F13" w:rsidRPr="00496C59">
        <w:rPr>
          <w:rFonts w:cs="Times New Roman"/>
          <w:szCs w:val="20"/>
        </w:rPr>
        <w:t xml:space="preserve"> </w:t>
      </w:r>
    </w:p>
    <w:p w14:paraId="074A4F34" w14:textId="43934851" w:rsidR="00185908" w:rsidRPr="00496C59" w:rsidRDefault="0024635D" w:rsidP="00185908">
      <w:pPr>
        <w:spacing w:after="0" w:line="240" w:lineRule="auto"/>
        <w:rPr>
          <w:rFonts w:cs="Times New Roman"/>
          <w:szCs w:val="20"/>
        </w:rPr>
      </w:pPr>
      <w:r w:rsidRPr="00496C59">
        <w:rPr>
          <w:rFonts w:cs="Times New Roman"/>
          <w:szCs w:val="20"/>
        </w:rPr>
        <w:t xml:space="preserve">Website: </w:t>
      </w:r>
      <w:hyperlink r:id="rId46" w:history="1">
        <w:r w:rsidR="00232FCC" w:rsidRPr="00496C59">
          <w:rPr>
            <w:rStyle w:val="Hyperlink"/>
            <w:rFonts w:cs="Times New Roman"/>
            <w:szCs w:val="20"/>
          </w:rPr>
          <w:t>www.physioghana.com</w:t>
        </w:r>
      </w:hyperlink>
      <w:r w:rsidR="00185908" w:rsidRPr="00496C59">
        <w:rPr>
          <w:rFonts w:cs="Times New Roman"/>
          <w:szCs w:val="20"/>
        </w:rPr>
        <w:t xml:space="preserve">  </w:t>
      </w:r>
    </w:p>
    <w:p w14:paraId="36EC6AA3" w14:textId="6876AA07" w:rsidR="00185908" w:rsidRPr="00F85B49" w:rsidRDefault="00650BC9" w:rsidP="002B4C23">
      <w:pPr>
        <w:pStyle w:val="Heading1"/>
        <w:rPr>
          <w:b w:val="0"/>
          <w:sz w:val="26"/>
          <w:szCs w:val="26"/>
        </w:rPr>
      </w:pPr>
      <w:bookmarkStart w:id="40" w:name="Acknowlegment"/>
      <w:bookmarkStart w:id="41" w:name="_Hlk98164056"/>
      <w:bookmarkEnd w:id="40"/>
      <w:r>
        <w:rPr>
          <w:b w:val="0"/>
          <w:sz w:val="26"/>
          <w:szCs w:val="26"/>
        </w:rPr>
        <w:lastRenderedPageBreak/>
        <w:t>Acknowledgment</w:t>
      </w:r>
    </w:p>
    <w:bookmarkEnd w:id="41"/>
    <w:p w14:paraId="4BDBDAAE" w14:textId="2EBB1082" w:rsidR="00421EBF" w:rsidRDefault="009663BD" w:rsidP="00281F30">
      <w:pPr>
        <w:spacing w:after="0"/>
        <w:rPr>
          <w:rFonts w:cs="Times New Roman"/>
          <w:sz w:val="18"/>
          <w:szCs w:val="18"/>
        </w:rPr>
      </w:pPr>
      <w:r w:rsidRPr="00F85B49">
        <w:rPr>
          <w:rFonts w:cs="Times New Roman"/>
          <w:sz w:val="18"/>
          <w:szCs w:val="18"/>
        </w:rPr>
        <w:t>We acknowledge all researchers within the team for working diligently to produce this</w:t>
      </w:r>
      <w:r w:rsidR="00A93150" w:rsidRPr="00F85B49">
        <w:rPr>
          <w:rFonts w:cs="Times New Roman"/>
          <w:sz w:val="18"/>
          <w:szCs w:val="18"/>
        </w:rPr>
        <w:t xml:space="preserve"> month’s</w:t>
      </w:r>
      <w:r w:rsidRPr="00F85B49">
        <w:rPr>
          <w:rFonts w:cs="Times New Roman"/>
          <w:sz w:val="18"/>
          <w:szCs w:val="18"/>
        </w:rPr>
        <w:t xml:space="preserve"> edition of the Newsletter</w:t>
      </w:r>
      <w:r w:rsidR="003D0F47" w:rsidRPr="00F85B49">
        <w:rPr>
          <w:rFonts w:cs="Times New Roman"/>
          <w:sz w:val="18"/>
          <w:szCs w:val="18"/>
        </w:rPr>
        <w:t xml:space="preserve">: </w:t>
      </w:r>
    </w:p>
    <w:p w14:paraId="1C05043C" w14:textId="3566AFBD" w:rsidR="005E6DAE" w:rsidRPr="005E6DAE" w:rsidRDefault="005E6DAE" w:rsidP="00281F30">
      <w:pPr>
        <w:spacing w:after="0"/>
        <w:rPr>
          <w:rFonts w:cs="Times New Roman"/>
          <w:b/>
          <w:sz w:val="18"/>
          <w:szCs w:val="18"/>
        </w:rPr>
      </w:pPr>
      <w:r w:rsidRPr="005E6DAE">
        <w:rPr>
          <w:rFonts w:cs="Times New Roman"/>
          <w:b/>
          <w:sz w:val="18"/>
          <w:szCs w:val="18"/>
        </w:rPr>
        <w:t>EBP Group members</w:t>
      </w:r>
    </w:p>
    <w:p w14:paraId="2E64A600" w14:textId="5341DE6E" w:rsidR="00281F30"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Beatrice Sankah </w:t>
      </w:r>
      <w:r w:rsidR="00A93150" w:rsidRPr="005E6DAE">
        <w:rPr>
          <w:rFonts w:cs="Times New Roman"/>
          <w:sz w:val="18"/>
          <w:szCs w:val="18"/>
        </w:rPr>
        <w:t>–</w:t>
      </w:r>
      <w:r w:rsidR="00196458" w:rsidRPr="005E6DAE">
        <w:rPr>
          <w:rFonts w:cs="Times New Roman"/>
          <w:sz w:val="18"/>
          <w:szCs w:val="18"/>
        </w:rPr>
        <w:t xml:space="preserve"> </w:t>
      </w:r>
      <w:r w:rsidR="00F95D6E" w:rsidRPr="005E6DAE">
        <w:rPr>
          <w:rFonts w:cs="Times New Roman"/>
          <w:sz w:val="18"/>
          <w:szCs w:val="18"/>
        </w:rPr>
        <w:t>Lecturer, University of Cape Coast, Ghana</w:t>
      </w:r>
    </w:p>
    <w:p w14:paraId="7D7EC94D" w14:textId="026371D4" w:rsidR="00281F30" w:rsidRPr="005E6DAE" w:rsidRDefault="00185908" w:rsidP="005E6DAE">
      <w:pPr>
        <w:pStyle w:val="ListParagraph"/>
        <w:numPr>
          <w:ilvl w:val="0"/>
          <w:numId w:val="6"/>
        </w:numPr>
        <w:spacing w:after="0"/>
        <w:rPr>
          <w:sz w:val="18"/>
          <w:szCs w:val="18"/>
          <w:lang w:val="en-GB"/>
        </w:rPr>
      </w:pPr>
      <w:r w:rsidRPr="005E6DAE">
        <w:rPr>
          <w:rFonts w:cs="Times New Roman"/>
          <w:sz w:val="18"/>
          <w:szCs w:val="18"/>
        </w:rPr>
        <w:t>Mary W Agoriwo</w:t>
      </w:r>
      <w:r w:rsidR="00710C87" w:rsidRPr="005E6DAE">
        <w:rPr>
          <w:rFonts w:cs="Times New Roman"/>
          <w:sz w:val="18"/>
          <w:szCs w:val="18"/>
        </w:rPr>
        <w:t xml:space="preserve"> </w:t>
      </w:r>
      <w:r w:rsidR="00E32646" w:rsidRPr="005E6DAE">
        <w:rPr>
          <w:rFonts w:cs="Times New Roman"/>
          <w:sz w:val="18"/>
          <w:szCs w:val="18"/>
        </w:rPr>
        <w:t xml:space="preserve">- </w:t>
      </w:r>
      <w:r w:rsidR="00A93150" w:rsidRPr="005E6DAE">
        <w:rPr>
          <w:rFonts w:cs="Times New Roman"/>
          <w:sz w:val="18"/>
          <w:szCs w:val="18"/>
        </w:rPr>
        <w:t xml:space="preserve">PhD </w:t>
      </w:r>
      <w:r w:rsidR="00C5447E" w:rsidRPr="005E6DAE">
        <w:rPr>
          <w:rFonts w:cs="Times New Roman"/>
          <w:sz w:val="18"/>
          <w:szCs w:val="18"/>
        </w:rPr>
        <w:t>S</w:t>
      </w:r>
      <w:r w:rsidR="00A93150" w:rsidRPr="005E6DAE">
        <w:rPr>
          <w:rFonts w:cs="Times New Roman"/>
          <w:sz w:val="18"/>
          <w:szCs w:val="18"/>
        </w:rPr>
        <w:t>tudent, Stellenbosch University, So</w:t>
      </w:r>
      <w:r w:rsidR="009674D5" w:rsidRPr="005E6DAE">
        <w:rPr>
          <w:rFonts w:cs="Times New Roman"/>
          <w:sz w:val="18"/>
          <w:szCs w:val="18"/>
        </w:rPr>
        <w:t>uth Africa; L</w:t>
      </w:r>
      <w:proofErr w:type="spellStart"/>
      <w:r w:rsidR="00710C87" w:rsidRPr="005E6DAE">
        <w:rPr>
          <w:sz w:val="18"/>
          <w:szCs w:val="18"/>
          <w:lang w:val="en-GB"/>
        </w:rPr>
        <w:t>ecturer</w:t>
      </w:r>
      <w:proofErr w:type="spellEnd"/>
      <w:r w:rsidR="00710C87" w:rsidRPr="005E6DAE">
        <w:rPr>
          <w:sz w:val="18"/>
          <w:szCs w:val="18"/>
          <w:lang w:val="en-GB"/>
        </w:rPr>
        <w:t>, University of Health and Allied Sciences, Ho, Ghana</w:t>
      </w:r>
    </w:p>
    <w:p w14:paraId="5E24D9DB" w14:textId="43185072" w:rsidR="00476FAB" w:rsidRPr="00385A59" w:rsidRDefault="00476FAB" w:rsidP="00385A59">
      <w:pPr>
        <w:pStyle w:val="ListParagraph"/>
        <w:numPr>
          <w:ilvl w:val="0"/>
          <w:numId w:val="6"/>
        </w:numPr>
        <w:spacing w:after="0"/>
        <w:rPr>
          <w:sz w:val="18"/>
          <w:szCs w:val="18"/>
          <w:lang w:val="en-GB"/>
        </w:rPr>
      </w:pPr>
      <w:r w:rsidRPr="005E6DAE">
        <w:rPr>
          <w:sz w:val="18"/>
          <w:szCs w:val="18"/>
          <w:lang w:val="en-GB"/>
        </w:rPr>
        <w:t xml:space="preserve">Martin Ackah – </w:t>
      </w:r>
      <w:r w:rsidR="00A93150" w:rsidRPr="005E6DAE">
        <w:rPr>
          <w:sz w:val="18"/>
          <w:szCs w:val="18"/>
          <w:lang w:val="en-GB"/>
        </w:rPr>
        <w:t>PhD Student, Northumbria University, United Kingdom and Biostatistician</w:t>
      </w:r>
    </w:p>
    <w:p w14:paraId="538720D2" w14:textId="189DE1CF"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Cosmos </w:t>
      </w:r>
      <w:proofErr w:type="spellStart"/>
      <w:r w:rsidRPr="005E6DAE">
        <w:rPr>
          <w:rFonts w:cs="Times New Roman"/>
          <w:sz w:val="18"/>
          <w:szCs w:val="18"/>
        </w:rPr>
        <w:t>Yarfi</w:t>
      </w:r>
      <w:proofErr w:type="spellEnd"/>
      <w:r w:rsidRPr="005E6DAE">
        <w:rPr>
          <w:rFonts w:cs="Times New Roman"/>
          <w:sz w:val="18"/>
          <w:szCs w:val="18"/>
        </w:rPr>
        <w:t xml:space="preserve"> </w:t>
      </w:r>
      <w:r w:rsidR="00A93150" w:rsidRPr="005E6DAE">
        <w:rPr>
          <w:rFonts w:cs="Times New Roman"/>
          <w:sz w:val="18"/>
          <w:szCs w:val="18"/>
        </w:rPr>
        <w:t>–</w:t>
      </w:r>
      <w:r w:rsidR="00385A59">
        <w:rPr>
          <w:rFonts w:cs="Times New Roman"/>
          <w:sz w:val="18"/>
          <w:szCs w:val="18"/>
        </w:rPr>
        <w:t xml:space="preserve"> </w:t>
      </w:r>
      <w:r w:rsidRPr="005E6DAE">
        <w:rPr>
          <w:rFonts w:cs="Times New Roman"/>
          <w:sz w:val="18"/>
          <w:szCs w:val="18"/>
        </w:rPr>
        <w:t>Lecturer, University of Health and Allied Sciences, Ho, Ghana</w:t>
      </w:r>
    </w:p>
    <w:p w14:paraId="098FC7F9" w14:textId="3B169F2C"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Adjoa Banson </w:t>
      </w:r>
      <w:r w:rsidR="000B2285" w:rsidRPr="005E6DAE">
        <w:rPr>
          <w:rFonts w:cs="Times New Roman"/>
          <w:sz w:val="18"/>
          <w:szCs w:val="18"/>
        </w:rPr>
        <w:t>–</w:t>
      </w:r>
      <w:r w:rsidRPr="005E6DAE">
        <w:rPr>
          <w:rFonts w:cs="Times New Roman"/>
          <w:sz w:val="18"/>
          <w:szCs w:val="18"/>
        </w:rPr>
        <w:t xml:space="preserve"> </w:t>
      </w:r>
      <w:r w:rsidR="000B2285" w:rsidRPr="005E6DAE">
        <w:rPr>
          <w:rFonts w:cs="Times New Roman"/>
          <w:sz w:val="18"/>
          <w:szCs w:val="18"/>
        </w:rPr>
        <w:t xml:space="preserve">PhD </w:t>
      </w:r>
      <w:r w:rsidR="00F610CD" w:rsidRPr="005E6DAE">
        <w:rPr>
          <w:rFonts w:cs="Times New Roman"/>
          <w:sz w:val="18"/>
          <w:szCs w:val="18"/>
        </w:rPr>
        <w:t>S</w:t>
      </w:r>
      <w:r w:rsidR="000B2285" w:rsidRPr="005E6DAE">
        <w:rPr>
          <w:rFonts w:cs="Times New Roman"/>
          <w:sz w:val="18"/>
          <w:szCs w:val="18"/>
        </w:rPr>
        <w:t xml:space="preserve">tudent, University of Cape Town, South Africa; </w:t>
      </w:r>
      <w:r w:rsidR="009674D5" w:rsidRPr="005E6DAE">
        <w:rPr>
          <w:rFonts w:cs="Times New Roman"/>
          <w:sz w:val="18"/>
          <w:szCs w:val="18"/>
        </w:rPr>
        <w:t>L</w:t>
      </w:r>
      <w:r w:rsidRPr="005E6DAE">
        <w:rPr>
          <w:rFonts w:cs="Times New Roman"/>
          <w:sz w:val="18"/>
          <w:szCs w:val="18"/>
        </w:rPr>
        <w:t>ecturer, University of Health and Allied Sciences, Ho, Ghana</w:t>
      </w:r>
    </w:p>
    <w:p w14:paraId="6F6F0711" w14:textId="7BEC7333" w:rsidR="00B541AF"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Hosea Boakye </w:t>
      </w:r>
      <w:r w:rsidR="00281F30" w:rsidRPr="005E6DAE">
        <w:rPr>
          <w:rFonts w:cs="Times New Roman"/>
          <w:sz w:val="18"/>
          <w:szCs w:val="18"/>
        </w:rPr>
        <w:t xml:space="preserve">- </w:t>
      </w:r>
      <w:r w:rsidR="003B2B2E" w:rsidRPr="005E6DAE">
        <w:rPr>
          <w:rFonts w:cs="Times New Roman"/>
          <w:sz w:val="18"/>
          <w:szCs w:val="18"/>
        </w:rPr>
        <w:t xml:space="preserve">PhD </w:t>
      </w:r>
      <w:r w:rsidR="00F610CD" w:rsidRPr="005E6DAE">
        <w:rPr>
          <w:rFonts w:cs="Times New Roman"/>
          <w:sz w:val="18"/>
          <w:szCs w:val="18"/>
        </w:rPr>
        <w:t>S</w:t>
      </w:r>
      <w:r w:rsidR="003B2B2E" w:rsidRPr="005E6DAE">
        <w:rPr>
          <w:rFonts w:cs="Times New Roman"/>
          <w:sz w:val="18"/>
          <w:szCs w:val="18"/>
        </w:rPr>
        <w:t>tudent, School of Health and Rehabilitation Science, Sargent College, Boston University</w:t>
      </w:r>
    </w:p>
    <w:p w14:paraId="1E57853F" w14:textId="1497170B" w:rsidR="007A3100" w:rsidRPr="00F85B49" w:rsidRDefault="007A3100" w:rsidP="007A0FE1">
      <w:pPr>
        <w:spacing w:before="80" w:after="0"/>
        <w:rPr>
          <w:sz w:val="18"/>
          <w:szCs w:val="18"/>
        </w:rPr>
      </w:pPr>
      <w:r>
        <w:rPr>
          <w:rFonts w:cs="Times New Roman"/>
          <w:sz w:val="18"/>
          <w:szCs w:val="18"/>
        </w:rPr>
        <w:t xml:space="preserve">We also acknowledge the unflinching support of our </w:t>
      </w:r>
      <w:r w:rsidRPr="007A3100">
        <w:rPr>
          <w:rFonts w:cs="Times New Roman"/>
          <w:sz w:val="18"/>
          <w:szCs w:val="18"/>
        </w:rPr>
        <w:t>information technology</w:t>
      </w:r>
      <w:r>
        <w:rPr>
          <w:rFonts w:cs="Times New Roman"/>
          <w:sz w:val="18"/>
          <w:szCs w:val="18"/>
        </w:rPr>
        <w:t xml:space="preserve"> consultant, </w:t>
      </w:r>
      <w:proofErr w:type="spellStart"/>
      <w:r>
        <w:rPr>
          <w:rFonts w:cs="Times New Roman"/>
          <w:sz w:val="18"/>
          <w:szCs w:val="18"/>
        </w:rPr>
        <w:t>Mr</w:t>
      </w:r>
      <w:proofErr w:type="spellEnd"/>
      <w:r>
        <w:rPr>
          <w:rFonts w:cs="Times New Roman"/>
          <w:sz w:val="18"/>
          <w:szCs w:val="18"/>
        </w:rPr>
        <w:t xml:space="preserve"> Darlington Morrison for his technical support with website design and </w:t>
      </w:r>
      <w:r w:rsidR="00573541">
        <w:rPr>
          <w:rFonts w:cs="Times New Roman"/>
          <w:sz w:val="18"/>
          <w:szCs w:val="18"/>
        </w:rPr>
        <w:t xml:space="preserve">monthly </w:t>
      </w:r>
      <w:r>
        <w:rPr>
          <w:rFonts w:cs="Times New Roman"/>
          <w:sz w:val="18"/>
          <w:szCs w:val="18"/>
        </w:rPr>
        <w:t>uploads of all GPA Evidence archives and GPA database.</w:t>
      </w:r>
    </w:p>
    <w:p w14:paraId="3A456C80" w14:textId="4ECFDEA6" w:rsidR="00421EBF" w:rsidRPr="00F85B49" w:rsidRDefault="00F51A91" w:rsidP="00421EBF">
      <w:pPr>
        <w:spacing w:before="240" w:after="0"/>
        <w:rPr>
          <w:rFonts w:cs="Times New Roman"/>
          <w:sz w:val="18"/>
          <w:szCs w:val="18"/>
        </w:rPr>
      </w:pPr>
      <w:r w:rsidRPr="00F85B49">
        <w:rPr>
          <w:rFonts w:cs="Times New Roman"/>
          <w:sz w:val="18"/>
          <w:szCs w:val="18"/>
        </w:rPr>
        <w:t>Copyright © Ghana Physiotherapy Association</w:t>
      </w:r>
      <w:r w:rsidR="00191397">
        <w:rPr>
          <w:rFonts w:cs="Times New Roman"/>
          <w:sz w:val="18"/>
          <w:szCs w:val="18"/>
        </w:rPr>
        <w:t xml:space="preserve"> 202</w:t>
      </w:r>
      <w:r w:rsidR="007A0FE1">
        <w:rPr>
          <w:rFonts w:cs="Times New Roman"/>
          <w:sz w:val="18"/>
          <w:szCs w:val="18"/>
        </w:rPr>
        <w:t>6</w:t>
      </w:r>
    </w:p>
    <w:p w14:paraId="4351B49A" w14:textId="13CF441F" w:rsidR="00D965C2" w:rsidRPr="00F85B49" w:rsidRDefault="00316E0F" w:rsidP="009C2239">
      <w:pPr>
        <w:spacing w:after="360"/>
        <w:rPr>
          <w:rFonts w:cs="Times New Roman"/>
          <w:sz w:val="18"/>
          <w:szCs w:val="18"/>
        </w:rPr>
      </w:pPr>
      <w:hyperlink w:anchor="Introduction" w:history="1">
        <w:r w:rsidRPr="00F85B49">
          <w:rPr>
            <w:rStyle w:val="Hyperlink"/>
            <w:rFonts w:cs="Times New Roman"/>
            <w:sz w:val="18"/>
            <w:szCs w:val="18"/>
          </w:rPr>
          <w:t xml:space="preserve">Back to </w:t>
        </w:r>
        <w:r w:rsidR="001A3C67" w:rsidRPr="00F85B49">
          <w:rPr>
            <w:rStyle w:val="Hyperlink"/>
            <w:rFonts w:cs="Times New Roman"/>
            <w:sz w:val="18"/>
            <w:szCs w:val="18"/>
          </w:rPr>
          <w:t>Introduction</w:t>
        </w:r>
      </w:hyperlink>
      <w:r w:rsidR="00D965C2" w:rsidRPr="00F85B49">
        <w:rPr>
          <w:rFonts w:cs="Times New Roman"/>
          <w:sz w:val="18"/>
          <w:szCs w:val="18"/>
        </w:rPr>
        <w:tab/>
      </w:r>
    </w:p>
    <w:sectPr w:rsidR="00D965C2" w:rsidRPr="00F85B49">
      <w:footerReference w:type="default" r:id="rId4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EEC3B" w14:textId="77777777" w:rsidR="005C46F8" w:rsidRDefault="005C46F8" w:rsidP="005D1D21">
      <w:pPr>
        <w:spacing w:after="0" w:line="240" w:lineRule="auto"/>
      </w:pPr>
      <w:r>
        <w:separator/>
      </w:r>
    </w:p>
  </w:endnote>
  <w:endnote w:type="continuationSeparator" w:id="0">
    <w:p w14:paraId="67F24FAC" w14:textId="77777777" w:rsidR="005C46F8" w:rsidRDefault="005C46F8"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5DD5B9E9" w:rsidR="00CA06EA" w:rsidRDefault="00CA06EA" w:rsidP="0007225F">
        <w:pPr>
          <w:pStyle w:val="Header"/>
        </w:pPr>
        <w:r w:rsidRPr="005B64D6">
          <w:rPr>
            <w:i/>
            <w:iCs/>
            <w:sz w:val="16"/>
            <w:szCs w:val="16"/>
            <w:lang w:val="en-GB"/>
          </w:rPr>
          <w:t>GPA Evidence Updates</w:t>
        </w:r>
        <w:r>
          <w:rPr>
            <w:i/>
            <w:iCs/>
            <w:sz w:val="16"/>
            <w:szCs w:val="16"/>
            <w:lang w:val="en-GB"/>
          </w:rPr>
          <w:t xml:space="preserve"> </w:t>
        </w:r>
        <w:r w:rsidR="00DC2587">
          <w:rPr>
            <w:i/>
            <w:iCs/>
            <w:sz w:val="16"/>
            <w:szCs w:val="16"/>
            <w:lang w:val="en-GB"/>
          </w:rPr>
          <w:t>Jan26/</w:t>
        </w:r>
        <w:r w:rsidRPr="005B64D6">
          <w:rPr>
            <w:i/>
            <w:iCs/>
            <w:sz w:val="16"/>
            <w:szCs w:val="16"/>
            <w:lang w:val="en-GB"/>
          </w:rPr>
          <w:t>Edition</w:t>
        </w:r>
        <w:r>
          <w:rPr>
            <w:i/>
            <w:iCs/>
            <w:sz w:val="16"/>
            <w:szCs w:val="16"/>
            <w:lang w:val="en-GB"/>
          </w:rPr>
          <w:t xml:space="preserve">                                        </w:t>
        </w:r>
        <w:r w:rsidR="007A0FE1">
          <w:rPr>
            <w:i/>
            <w:iCs/>
            <w:sz w:val="16"/>
            <w:szCs w:val="16"/>
            <w:lang w:val="en-GB"/>
          </w:rPr>
          <w:t>19</w:t>
        </w:r>
        <w:r w:rsidR="00DC2587">
          <w:rPr>
            <w:i/>
            <w:iCs/>
            <w:sz w:val="16"/>
            <w:szCs w:val="16"/>
            <w:lang w:val="en-GB"/>
          </w:rPr>
          <w:t>Feb2</w:t>
        </w:r>
        <w:r>
          <w:rPr>
            <w:i/>
            <w:iCs/>
            <w:sz w:val="16"/>
            <w:szCs w:val="16"/>
            <w:lang w:val="en-GB"/>
          </w:rPr>
          <w:t>02</w:t>
        </w:r>
        <w:r w:rsidR="00BE5352">
          <w:rPr>
            <w:i/>
            <w:iCs/>
            <w:sz w:val="16"/>
            <w:szCs w:val="16"/>
            <w:lang w:val="en-GB"/>
          </w:rPr>
          <w:t>6</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758E1" w14:textId="77777777" w:rsidR="005C46F8" w:rsidRDefault="005C46F8" w:rsidP="005D1D21">
      <w:pPr>
        <w:spacing w:after="0" w:line="240" w:lineRule="auto"/>
      </w:pPr>
      <w:r>
        <w:separator/>
      </w:r>
    </w:p>
  </w:footnote>
  <w:footnote w:type="continuationSeparator" w:id="0">
    <w:p w14:paraId="15348546" w14:textId="77777777" w:rsidR="005C46F8" w:rsidRDefault="005C46F8"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B923BF"/>
    <w:multiLevelType w:val="hybridMultilevel"/>
    <w:tmpl w:val="32C63F7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8E27284"/>
    <w:multiLevelType w:val="hybridMultilevel"/>
    <w:tmpl w:val="E6C23D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FF3CFE"/>
    <w:multiLevelType w:val="hybridMultilevel"/>
    <w:tmpl w:val="FC82902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E15022"/>
    <w:multiLevelType w:val="hybridMultilevel"/>
    <w:tmpl w:val="09F8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0336A32"/>
    <w:multiLevelType w:val="hybridMultilevel"/>
    <w:tmpl w:val="9AA643F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09D67F1"/>
    <w:multiLevelType w:val="hybridMultilevel"/>
    <w:tmpl w:val="B6D485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0B037E9"/>
    <w:multiLevelType w:val="hybridMultilevel"/>
    <w:tmpl w:val="86841F7A"/>
    <w:lvl w:ilvl="0" w:tplc="F916576E">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4017826"/>
    <w:multiLevelType w:val="hybridMultilevel"/>
    <w:tmpl w:val="E2FA131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02B11E6"/>
    <w:multiLevelType w:val="hybridMultilevel"/>
    <w:tmpl w:val="5F18751E"/>
    <w:lvl w:ilvl="0" w:tplc="AACAA2E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6D7D99"/>
    <w:multiLevelType w:val="hybridMultilevel"/>
    <w:tmpl w:val="7870BBB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6D92496"/>
    <w:multiLevelType w:val="hybridMultilevel"/>
    <w:tmpl w:val="5696175E"/>
    <w:lvl w:ilvl="0" w:tplc="DEA4F4C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7511791"/>
    <w:multiLevelType w:val="hybridMultilevel"/>
    <w:tmpl w:val="8D10099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7E16A3F"/>
    <w:multiLevelType w:val="hybridMultilevel"/>
    <w:tmpl w:val="7A6AC3BE"/>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9826428"/>
    <w:multiLevelType w:val="hybridMultilevel"/>
    <w:tmpl w:val="4DAE8A7A"/>
    <w:lvl w:ilvl="0" w:tplc="072A353C">
      <w:start w:val="1"/>
      <w:numFmt w:val="decimal"/>
      <w:lvlText w:val="%1."/>
      <w:lvlJc w:val="left"/>
      <w:pPr>
        <w:ind w:left="360" w:hanging="360"/>
      </w:pPr>
      <w:rPr>
        <w:rFonts w:hint="default"/>
        <w:b w:val="0"/>
        <w:bCs w:val="0"/>
        <w:color w:val="000000" w:themeColor="text1"/>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0"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C148DB"/>
    <w:multiLevelType w:val="hybridMultilevel"/>
    <w:tmpl w:val="8506A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4A22F3E"/>
    <w:multiLevelType w:val="hybridMultilevel"/>
    <w:tmpl w:val="09F8CA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5"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B746B50"/>
    <w:multiLevelType w:val="hybridMultilevel"/>
    <w:tmpl w:val="AF8C3CE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C3C65B4"/>
    <w:multiLevelType w:val="hybridMultilevel"/>
    <w:tmpl w:val="A198BB7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8364323">
    <w:abstractNumId w:val="35"/>
  </w:num>
  <w:num w:numId="2" w16cid:durableId="2118984338">
    <w:abstractNumId w:val="37"/>
  </w:num>
  <w:num w:numId="3" w16cid:durableId="1942295100">
    <w:abstractNumId w:val="1"/>
  </w:num>
  <w:num w:numId="4" w16cid:durableId="1755469069">
    <w:abstractNumId w:val="27"/>
  </w:num>
  <w:num w:numId="5" w16cid:durableId="1329360567">
    <w:abstractNumId w:val="32"/>
  </w:num>
  <w:num w:numId="6" w16cid:durableId="669912646">
    <w:abstractNumId w:val="24"/>
  </w:num>
  <w:num w:numId="7" w16cid:durableId="1836410356">
    <w:abstractNumId w:val="18"/>
  </w:num>
  <w:num w:numId="8" w16cid:durableId="2045592921">
    <w:abstractNumId w:val="15"/>
  </w:num>
  <w:num w:numId="9" w16cid:durableId="1906138205">
    <w:abstractNumId w:val="13"/>
  </w:num>
  <w:num w:numId="10" w16cid:durableId="1140227970">
    <w:abstractNumId w:val="19"/>
  </w:num>
  <w:num w:numId="11" w16cid:durableId="1008630014">
    <w:abstractNumId w:val="6"/>
  </w:num>
  <w:num w:numId="12" w16cid:durableId="1043753090">
    <w:abstractNumId w:val="12"/>
  </w:num>
  <w:num w:numId="13" w16cid:durableId="1536574836">
    <w:abstractNumId w:val="0"/>
  </w:num>
  <w:num w:numId="14" w16cid:durableId="797994589">
    <w:abstractNumId w:val="30"/>
  </w:num>
  <w:num w:numId="15" w16cid:durableId="277877837">
    <w:abstractNumId w:val="26"/>
  </w:num>
  <w:num w:numId="16" w16cid:durableId="230625855">
    <w:abstractNumId w:val="21"/>
  </w:num>
  <w:num w:numId="17" w16cid:durableId="1794012435">
    <w:abstractNumId w:val="33"/>
  </w:num>
  <w:num w:numId="18" w16cid:durableId="1195121635">
    <w:abstractNumId w:val="25"/>
  </w:num>
  <w:num w:numId="19" w16cid:durableId="1896624523">
    <w:abstractNumId w:val="14"/>
  </w:num>
  <w:num w:numId="20" w16cid:durableId="1659192324">
    <w:abstractNumId w:val="7"/>
  </w:num>
  <w:num w:numId="21" w16cid:durableId="81806509">
    <w:abstractNumId w:val="22"/>
  </w:num>
  <w:num w:numId="22" w16cid:durableId="554974447">
    <w:abstractNumId w:val="5"/>
  </w:num>
  <w:num w:numId="23" w16cid:durableId="674921390">
    <w:abstractNumId w:val="11"/>
  </w:num>
  <w:num w:numId="24" w16cid:durableId="1704404625">
    <w:abstractNumId w:val="31"/>
  </w:num>
  <w:num w:numId="25" w16cid:durableId="363138274">
    <w:abstractNumId w:val="34"/>
  </w:num>
  <w:num w:numId="26" w16cid:durableId="1722288309">
    <w:abstractNumId w:val="20"/>
  </w:num>
  <w:num w:numId="27" w16cid:durableId="130097651">
    <w:abstractNumId w:val="16"/>
  </w:num>
  <w:num w:numId="28" w16cid:durableId="2093042739">
    <w:abstractNumId w:val="38"/>
  </w:num>
  <w:num w:numId="29" w16cid:durableId="5787203">
    <w:abstractNumId w:val="9"/>
  </w:num>
  <w:num w:numId="30" w16cid:durableId="619264344">
    <w:abstractNumId w:val="10"/>
  </w:num>
  <w:num w:numId="31" w16cid:durableId="57632362">
    <w:abstractNumId w:val="2"/>
  </w:num>
  <w:num w:numId="32" w16cid:durableId="1563756102">
    <w:abstractNumId w:val="29"/>
  </w:num>
  <w:num w:numId="33" w16cid:durableId="1218935052">
    <w:abstractNumId w:val="3"/>
  </w:num>
  <w:num w:numId="34" w16cid:durableId="505756254">
    <w:abstractNumId w:val="23"/>
  </w:num>
  <w:num w:numId="35" w16cid:durableId="301156484">
    <w:abstractNumId w:val="17"/>
  </w:num>
  <w:num w:numId="36" w16cid:durableId="555119166">
    <w:abstractNumId w:val="36"/>
  </w:num>
  <w:num w:numId="37" w16cid:durableId="968629101">
    <w:abstractNumId w:val="28"/>
  </w:num>
  <w:num w:numId="38" w16cid:durableId="731201665">
    <w:abstractNumId w:val="4"/>
  </w:num>
  <w:num w:numId="39" w16cid:durableId="1413088894">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24ED"/>
    <w:rsid w:val="000055E7"/>
    <w:rsid w:val="00007A9A"/>
    <w:rsid w:val="00011F23"/>
    <w:rsid w:val="0001228A"/>
    <w:rsid w:val="000128DB"/>
    <w:rsid w:val="00014587"/>
    <w:rsid w:val="00024560"/>
    <w:rsid w:val="000314EE"/>
    <w:rsid w:val="000324D0"/>
    <w:rsid w:val="00033334"/>
    <w:rsid w:val="000347B1"/>
    <w:rsid w:val="00035844"/>
    <w:rsid w:val="000434E1"/>
    <w:rsid w:val="00043B40"/>
    <w:rsid w:val="00050455"/>
    <w:rsid w:val="00051042"/>
    <w:rsid w:val="00053C0B"/>
    <w:rsid w:val="000557CD"/>
    <w:rsid w:val="00056322"/>
    <w:rsid w:val="0005644B"/>
    <w:rsid w:val="00065134"/>
    <w:rsid w:val="00066C88"/>
    <w:rsid w:val="00066D71"/>
    <w:rsid w:val="00070CDD"/>
    <w:rsid w:val="0007128E"/>
    <w:rsid w:val="000713BF"/>
    <w:rsid w:val="0007225F"/>
    <w:rsid w:val="00075247"/>
    <w:rsid w:val="00075B09"/>
    <w:rsid w:val="00075F42"/>
    <w:rsid w:val="00077F0F"/>
    <w:rsid w:val="00081B01"/>
    <w:rsid w:val="00082573"/>
    <w:rsid w:val="000847F1"/>
    <w:rsid w:val="00085D51"/>
    <w:rsid w:val="00091ACB"/>
    <w:rsid w:val="00092E2B"/>
    <w:rsid w:val="000960B7"/>
    <w:rsid w:val="00097743"/>
    <w:rsid w:val="000A141B"/>
    <w:rsid w:val="000A4FE2"/>
    <w:rsid w:val="000A7607"/>
    <w:rsid w:val="000B1A10"/>
    <w:rsid w:val="000B2285"/>
    <w:rsid w:val="000C138A"/>
    <w:rsid w:val="000C4BBA"/>
    <w:rsid w:val="000C70CE"/>
    <w:rsid w:val="000C7445"/>
    <w:rsid w:val="000D0154"/>
    <w:rsid w:val="000D0435"/>
    <w:rsid w:val="000D1EFF"/>
    <w:rsid w:val="000D64B2"/>
    <w:rsid w:val="000D6908"/>
    <w:rsid w:val="000D73F8"/>
    <w:rsid w:val="000E2233"/>
    <w:rsid w:val="000E3802"/>
    <w:rsid w:val="000E3C16"/>
    <w:rsid w:val="000E4223"/>
    <w:rsid w:val="000E6762"/>
    <w:rsid w:val="000E6FEA"/>
    <w:rsid w:val="000E7F35"/>
    <w:rsid w:val="000F0975"/>
    <w:rsid w:val="000F0B3F"/>
    <w:rsid w:val="00101D3A"/>
    <w:rsid w:val="00103B2E"/>
    <w:rsid w:val="00105F95"/>
    <w:rsid w:val="00106D74"/>
    <w:rsid w:val="00111420"/>
    <w:rsid w:val="001143D2"/>
    <w:rsid w:val="001144C2"/>
    <w:rsid w:val="00114568"/>
    <w:rsid w:val="00116B84"/>
    <w:rsid w:val="001175C2"/>
    <w:rsid w:val="00120336"/>
    <w:rsid w:val="0012287B"/>
    <w:rsid w:val="00126382"/>
    <w:rsid w:val="00133013"/>
    <w:rsid w:val="00136E05"/>
    <w:rsid w:val="00140650"/>
    <w:rsid w:val="00140B6D"/>
    <w:rsid w:val="00141709"/>
    <w:rsid w:val="001457A6"/>
    <w:rsid w:val="00150A43"/>
    <w:rsid w:val="001513C1"/>
    <w:rsid w:val="0015728B"/>
    <w:rsid w:val="00163E71"/>
    <w:rsid w:val="00166BAA"/>
    <w:rsid w:val="0016712B"/>
    <w:rsid w:val="001708E0"/>
    <w:rsid w:val="00172872"/>
    <w:rsid w:val="00185908"/>
    <w:rsid w:val="001904CC"/>
    <w:rsid w:val="00191397"/>
    <w:rsid w:val="00196458"/>
    <w:rsid w:val="00196E26"/>
    <w:rsid w:val="001A3C67"/>
    <w:rsid w:val="001B2FA7"/>
    <w:rsid w:val="001B52C1"/>
    <w:rsid w:val="001B7736"/>
    <w:rsid w:val="001B7739"/>
    <w:rsid w:val="001C2CC5"/>
    <w:rsid w:val="001C4F83"/>
    <w:rsid w:val="001C53DA"/>
    <w:rsid w:val="001C67ED"/>
    <w:rsid w:val="001D0C8E"/>
    <w:rsid w:val="001D1834"/>
    <w:rsid w:val="001D494A"/>
    <w:rsid w:val="001D5E0A"/>
    <w:rsid w:val="001D6286"/>
    <w:rsid w:val="001D716E"/>
    <w:rsid w:val="001E05AC"/>
    <w:rsid w:val="001E312A"/>
    <w:rsid w:val="001E4672"/>
    <w:rsid w:val="001F37EF"/>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57D7"/>
    <w:rsid w:val="0024635D"/>
    <w:rsid w:val="00253757"/>
    <w:rsid w:val="0025659B"/>
    <w:rsid w:val="00262F63"/>
    <w:rsid w:val="0026528C"/>
    <w:rsid w:val="002656DF"/>
    <w:rsid w:val="00266820"/>
    <w:rsid w:val="00270F1F"/>
    <w:rsid w:val="00271C3F"/>
    <w:rsid w:val="00273EBA"/>
    <w:rsid w:val="00281F30"/>
    <w:rsid w:val="00282F9B"/>
    <w:rsid w:val="00284223"/>
    <w:rsid w:val="00285BBF"/>
    <w:rsid w:val="002908C4"/>
    <w:rsid w:val="0029614C"/>
    <w:rsid w:val="002A2955"/>
    <w:rsid w:val="002A3776"/>
    <w:rsid w:val="002A7190"/>
    <w:rsid w:val="002B2F7A"/>
    <w:rsid w:val="002B4C23"/>
    <w:rsid w:val="002B5D0A"/>
    <w:rsid w:val="002C3F3A"/>
    <w:rsid w:val="002C419C"/>
    <w:rsid w:val="002C4FD9"/>
    <w:rsid w:val="002C68C3"/>
    <w:rsid w:val="002C7461"/>
    <w:rsid w:val="002D19EC"/>
    <w:rsid w:val="002D28EE"/>
    <w:rsid w:val="002D5A9A"/>
    <w:rsid w:val="002D799A"/>
    <w:rsid w:val="002E29E5"/>
    <w:rsid w:val="002F15DD"/>
    <w:rsid w:val="002F39F1"/>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263F0"/>
    <w:rsid w:val="00332955"/>
    <w:rsid w:val="00332F70"/>
    <w:rsid w:val="00340882"/>
    <w:rsid w:val="003422C4"/>
    <w:rsid w:val="00344532"/>
    <w:rsid w:val="0035199A"/>
    <w:rsid w:val="00352FDD"/>
    <w:rsid w:val="003560B6"/>
    <w:rsid w:val="0036100D"/>
    <w:rsid w:val="0036463C"/>
    <w:rsid w:val="00366F4C"/>
    <w:rsid w:val="003732EC"/>
    <w:rsid w:val="003744C6"/>
    <w:rsid w:val="003753F9"/>
    <w:rsid w:val="00375B0B"/>
    <w:rsid w:val="00381AA1"/>
    <w:rsid w:val="00382B94"/>
    <w:rsid w:val="00384A1F"/>
    <w:rsid w:val="00385A59"/>
    <w:rsid w:val="003954C3"/>
    <w:rsid w:val="00395AB6"/>
    <w:rsid w:val="003A1C2A"/>
    <w:rsid w:val="003A4824"/>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7492"/>
    <w:rsid w:val="00410EB3"/>
    <w:rsid w:val="00412780"/>
    <w:rsid w:val="004135EC"/>
    <w:rsid w:val="00415D57"/>
    <w:rsid w:val="00417E0E"/>
    <w:rsid w:val="00421EBF"/>
    <w:rsid w:val="004275AF"/>
    <w:rsid w:val="004300BB"/>
    <w:rsid w:val="00431C7B"/>
    <w:rsid w:val="00433D7C"/>
    <w:rsid w:val="00441060"/>
    <w:rsid w:val="004468ED"/>
    <w:rsid w:val="00451077"/>
    <w:rsid w:val="00453047"/>
    <w:rsid w:val="004536C0"/>
    <w:rsid w:val="00463090"/>
    <w:rsid w:val="00471928"/>
    <w:rsid w:val="00476FAB"/>
    <w:rsid w:val="00477A57"/>
    <w:rsid w:val="00484FF3"/>
    <w:rsid w:val="004878E5"/>
    <w:rsid w:val="0049035C"/>
    <w:rsid w:val="0049573C"/>
    <w:rsid w:val="00496C59"/>
    <w:rsid w:val="00496E62"/>
    <w:rsid w:val="004A215D"/>
    <w:rsid w:val="004A3B7D"/>
    <w:rsid w:val="004A4907"/>
    <w:rsid w:val="004A4C5A"/>
    <w:rsid w:val="004A66F9"/>
    <w:rsid w:val="004B0082"/>
    <w:rsid w:val="004B0EC8"/>
    <w:rsid w:val="004B30FD"/>
    <w:rsid w:val="004B392D"/>
    <w:rsid w:val="004C00D6"/>
    <w:rsid w:val="004C3F06"/>
    <w:rsid w:val="004C458A"/>
    <w:rsid w:val="004C5187"/>
    <w:rsid w:val="004C763C"/>
    <w:rsid w:val="004D08D6"/>
    <w:rsid w:val="004D67D9"/>
    <w:rsid w:val="004D7A42"/>
    <w:rsid w:val="004E07FA"/>
    <w:rsid w:val="004E5402"/>
    <w:rsid w:val="004E6DB5"/>
    <w:rsid w:val="004E6F1A"/>
    <w:rsid w:val="004E765C"/>
    <w:rsid w:val="004F1A67"/>
    <w:rsid w:val="004F63B0"/>
    <w:rsid w:val="004F6721"/>
    <w:rsid w:val="004F6A96"/>
    <w:rsid w:val="0050043E"/>
    <w:rsid w:val="005036EC"/>
    <w:rsid w:val="00503A8A"/>
    <w:rsid w:val="005049FF"/>
    <w:rsid w:val="00504A03"/>
    <w:rsid w:val="00504F69"/>
    <w:rsid w:val="00505FB8"/>
    <w:rsid w:val="005073D1"/>
    <w:rsid w:val="00507E08"/>
    <w:rsid w:val="00510CA9"/>
    <w:rsid w:val="00513406"/>
    <w:rsid w:val="00514230"/>
    <w:rsid w:val="005162BA"/>
    <w:rsid w:val="00523EA3"/>
    <w:rsid w:val="00526AB2"/>
    <w:rsid w:val="005365EE"/>
    <w:rsid w:val="00540DC0"/>
    <w:rsid w:val="0054257C"/>
    <w:rsid w:val="00543F3F"/>
    <w:rsid w:val="005454D7"/>
    <w:rsid w:val="00546D8E"/>
    <w:rsid w:val="00552934"/>
    <w:rsid w:val="005530EA"/>
    <w:rsid w:val="00553417"/>
    <w:rsid w:val="00554EC6"/>
    <w:rsid w:val="00557B43"/>
    <w:rsid w:val="005708C0"/>
    <w:rsid w:val="0057260E"/>
    <w:rsid w:val="00573541"/>
    <w:rsid w:val="005946A9"/>
    <w:rsid w:val="005A3D13"/>
    <w:rsid w:val="005B0CF1"/>
    <w:rsid w:val="005B3C30"/>
    <w:rsid w:val="005B5576"/>
    <w:rsid w:val="005B64D6"/>
    <w:rsid w:val="005B68E5"/>
    <w:rsid w:val="005C46F8"/>
    <w:rsid w:val="005C4FFC"/>
    <w:rsid w:val="005C5248"/>
    <w:rsid w:val="005C5C0E"/>
    <w:rsid w:val="005D1D21"/>
    <w:rsid w:val="005D2ACA"/>
    <w:rsid w:val="005E0DF3"/>
    <w:rsid w:val="005E18C7"/>
    <w:rsid w:val="005E1D26"/>
    <w:rsid w:val="005E3A5E"/>
    <w:rsid w:val="005E6DAE"/>
    <w:rsid w:val="005F2834"/>
    <w:rsid w:val="005F2F4D"/>
    <w:rsid w:val="005F3264"/>
    <w:rsid w:val="005F48A1"/>
    <w:rsid w:val="005F6FF8"/>
    <w:rsid w:val="00602906"/>
    <w:rsid w:val="00603C0B"/>
    <w:rsid w:val="006114DF"/>
    <w:rsid w:val="00612D1F"/>
    <w:rsid w:val="00613CDB"/>
    <w:rsid w:val="0061509E"/>
    <w:rsid w:val="006246D2"/>
    <w:rsid w:val="00624866"/>
    <w:rsid w:val="0064073C"/>
    <w:rsid w:val="0064220D"/>
    <w:rsid w:val="00642637"/>
    <w:rsid w:val="006427B0"/>
    <w:rsid w:val="00646B47"/>
    <w:rsid w:val="00647871"/>
    <w:rsid w:val="006500E9"/>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687"/>
    <w:rsid w:val="006A22FC"/>
    <w:rsid w:val="006A2642"/>
    <w:rsid w:val="006A3F28"/>
    <w:rsid w:val="006A605F"/>
    <w:rsid w:val="006A6B26"/>
    <w:rsid w:val="006B3610"/>
    <w:rsid w:val="006B3F63"/>
    <w:rsid w:val="006B7438"/>
    <w:rsid w:val="006C3FF8"/>
    <w:rsid w:val="006C79ED"/>
    <w:rsid w:val="006D00D2"/>
    <w:rsid w:val="006D2578"/>
    <w:rsid w:val="006D6EFE"/>
    <w:rsid w:val="006E45B4"/>
    <w:rsid w:val="006E6D28"/>
    <w:rsid w:val="006F0605"/>
    <w:rsid w:val="006F10E0"/>
    <w:rsid w:val="006F10EA"/>
    <w:rsid w:val="006F29DA"/>
    <w:rsid w:val="006F2B81"/>
    <w:rsid w:val="006F4840"/>
    <w:rsid w:val="006F4DCC"/>
    <w:rsid w:val="007019D2"/>
    <w:rsid w:val="00702B64"/>
    <w:rsid w:val="00705F13"/>
    <w:rsid w:val="00710C87"/>
    <w:rsid w:val="00713FD3"/>
    <w:rsid w:val="00715E4A"/>
    <w:rsid w:val="00716771"/>
    <w:rsid w:val="00720A05"/>
    <w:rsid w:val="00723200"/>
    <w:rsid w:val="00726CD1"/>
    <w:rsid w:val="007356DA"/>
    <w:rsid w:val="0074240F"/>
    <w:rsid w:val="007451BB"/>
    <w:rsid w:val="00746F2B"/>
    <w:rsid w:val="0075123D"/>
    <w:rsid w:val="0075168C"/>
    <w:rsid w:val="00751C80"/>
    <w:rsid w:val="00753114"/>
    <w:rsid w:val="00755244"/>
    <w:rsid w:val="00757BA3"/>
    <w:rsid w:val="00760AD1"/>
    <w:rsid w:val="00763C6A"/>
    <w:rsid w:val="007655A0"/>
    <w:rsid w:val="00766964"/>
    <w:rsid w:val="00767127"/>
    <w:rsid w:val="00767E59"/>
    <w:rsid w:val="0077404A"/>
    <w:rsid w:val="007774D6"/>
    <w:rsid w:val="00780CD1"/>
    <w:rsid w:val="007824BB"/>
    <w:rsid w:val="00782AD0"/>
    <w:rsid w:val="00786D87"/>
    <w:rsid w:val="00786E70"/>
    <w:rsid w:val="007878FD"/>
    <w:rsid w:val="007917CF"/>
    <w:rsid w:val="007963A4"/>
    <w:rsid w:val="007970C5"/>
    <w:rsid w:val="00797D5C"/>
    <w:rsid w:val="007A08FF"/>
    <w:rsid w:val="007A0B6E"/>
    <w:rsid w:val="007A0FE1"/>
    <w:rsid w:val="007A144A"/>
    <w:rsid w:val="007A2946"/>
    <w:rsid w:val="007A3100"/>
    <w:rsid w:val="007A391E"/>
    <w:rsid w:val="007B1D65"/>
    <w:rsid w:val="007B3A69"/>
    <w:rsid w:val="007B6561"/>
    <w:rsid w:val="007B75A0"/>
    <w:rsid w:val="007C199D"/>
    <w:rsid w:val="007C375B"/>
    <w:rsid w:val="007C5583"/>
    <w:rsid w:val="007D4F96"/>
    <w:rsid w:val="007D640F"/>
    <w:rsid w:val="007D7325"/>
    <w:rsid w:val="007E1F63"/>
    <w:rsid w:val="007E25BE"/>
    <w:rsid w:val="007E3135"/>
    <w:rsid w:val="007E3430"/>
    <w:rsid w:val="007E4116"/>
    <w:rsid w:val="007E69F2"/>
    <w:rsid w:val="007E74AA"/>
    <w:rsid w:val="007F2CBD"/>
    <w:rsid w:val="007F4BA6"/>
    <w:rsid w:val="00804BB7"/>
    <w:rsid w:val="008113C8"/>
    <w:rsid w:val="0081308B"/>
    <w:rsid w:val="00814988"/>
    <w:rsid w:val="008154B0"/>
    <w:rsid w:val="00821797"/>
    <w:rsid w:val="00823C75"/>
    <w:rsid w:val="00827366"/>
    <w:rsid w:val="00830D68"/>
    <w:rsid w:val="00833261"/>
    <w:rsid w:val="00841980"/>
    <w:rsid w:val="008612D5"/>
    <w:rsid w:val="00861BAA"/>
    <w:rsid w:val="008622F6"/>
    <w:rsid w:val="0087364D"/>
    <w:rsid w:val="0087633B"/>
    <w:rsid w:val="008801A6"/>
    <w:rsid w:val="00880C54"/>
    <w:rsid w:val="008858F5"/>
    <w:rsid w:val="0089044D"/>
    <w:rsid w:val="00890EDB"/>
    <w:rsid w:val="0089639A"/>
    <w:rsid w:val="00897078"/>
    <w:rsid w:val="008A0A59"/>
    <w:rsid w:val="008A60A7"/>
    <w:rsid w:val="008B2AAA"/>
    <w:rsid w:val="008C0768"/>
    <w:rsid w:val="008D61A4"/>
    <w:rsid w:val="008D6362"/>
    <w:rsid w:val="008D752A"/>
    <w:rsid w:val="008E19B3"/>
    <w:rsid w:val="008E1AFD"/>
    <w:rsid w:val="008E4837"/>
    <w:rsid w:val="008E5671"/>
    <w:rsid w:val="008E5812"/>
    <w:rsid w:val="008F17FB"/>
    <w:rsid w:val="008F6603"/>
    <w:rsid w:val="009022B4"/>
    <w:rsid w:val="00903802"/>
    <w:rsid w:val="00903CFD"/>
    <w:rsid w:val="00910863"/>
    <w:rsid w:val="00914C13"/>
    <w:rsid w:val="009159A5"/>
    <w:rsid w:val="009174FF"/>
    <w:rsid w:val="00926AC2"/>
    <w:rsid w:val="009314B3"/>
    <w:rsid w:val="00941BD8"/>
    <w:rsid w:val="009444A0"/>
    <w:rsid w:val="00945F20"/>
    <w:rsid w:val="009475C0"/>
    <w:rsid w:val="0095072B"/>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4AF6"/>
    <w:rsid w:val="009A664B"/>
    <w:rsid w:val="009B0F07"/>
    <w:rsid w:val="009B2456"/>
    <w:rsid w:val="009B4FDD"/>
    <w:rsid w:val="009B67A4"/>
    <w:rsid w:val="009C184D"/>
    <w:rsid w:val="009C2239"/>
    <w:rsid w:val="009C4BD3"/>
    <w:rsid w:val="009C634E"/>
    <w:rsid w:val="009D3DE0"/>
    <w:rsid w:val="009D6D17"/>
    <w:rsid w:val="009E31ED"/>
    <w:rsid w:val="009E4584"/>
    <w:rsid w:val="009E6D02"/>
    <w:rsid w:val="009E7F1E"/>
    <w:rsid w:val="009F1359"/>
    <w:rsid w:val="009F2F0C"/>
    <w:rsid w:val="009F4D2B"/>
    <w:rsid w:val="009F5407"/>
    <w:rsid w:val="009F65FE"/>
    <w:rsid w:val="00A00642"/>
    <w:rsid w:val="00A01FDB"/>
    <w:rsid w:val="00A04531"/>
    <w:rsid w:val="00A04A77"/>
    <w:rsid w:val="00A0511F"/>
    <w:rsid w:val="00A059E7"/>
    <w:rsid w:val="00A10EAA"/>
    <w:rsid w:val="00A13504"/>
    <w:rsid w:val="00A13AF7"/>
    <w:rsid w:val="00A14379"/>
    <w:rsid w:val="00A1661D"/>
    <w:rsid w:val="00A17D26"/>
    <w:rsid w:val="00A21F1C"/>
    <w:rsid w:val="00A2224B"/>
    <w:rsid w:val="00A23487"/>
    <w:rsid w:val="00A235D6"/>
    <w:rsid w:val="00A27523"/>
    <w:rsid w:val="00A31EEA"/>
    <w:rsid w:val="00A3462F"/>
    <w:rsid w:val="00A34E13"/>
    <w:rsid w:val="00A37327"/>
    <w:rsid w:val="00A41336"/>
    <w:rsid w:val="00A443B1"/>
    <w:rsid w:val="00A45A8E"/>
    <w:rsid w:val="00A51AE0"/>
    <w:rsid w:val="00A51FF0"/>
    <w:rsid w:val="00A5237C"/>
    <w:rsid w:val="00A53B94"/>
    <w:rsid w:val="00A55975"/>
    <w:rsid w:val="00A57366"/>
    <w:rsid w:val="00A60478"/>
    <w:rsid w:val="00A625F5"/>
    <w:rsid w:val="00A644A4"/>
    <w:rsid w:val="00A66FBA"/>
    <w:rsid w:val="00A73986"/>
    <w:rsid w:val="00A73ACE"/>
    <w:rsid w:val="00A743D4"/>
    <w:rsid w:val="00A77789"/>
    <w:rsid w:val="00A8143F"/>
    <w:rsid w:val="00A8739D"/>
    <w:rsid w:val="00A915F4"/>
    <w:rsid w:val="00A92B72"/>
    <w:rsid w:val="00A93150"/>
    <w:rsid w:val="00A95768"/>
    <w:rsid w:val="00A9688B"/>
    <w:rsid w:val="00AA067C"/>
    <w:rsid w:val="00AA2538"/>
    <w:rsid w:val="00AA60D7"/>
    <w:rsid w:val="00AB42A0"/>
    <w:rsid w:val="00AB446B"/>
    <w:rsid w:val="00AB5647"/>
    <w:rsid w:val="00AC317C"/>
    <w:rsid w:val="00AD040E"/>
    <w:rsid w:val="00AD2622"/>
    <w:rsid w:val="00AD6201"/>
    <w:rsid w:val="00AE3E57"/>
    <w:rsid w:val="00AE5F67"/>
    <w:rsid w:val="00AE793D"/>
    <w:rsid w:val="00AF22EF"/>
    <w:rsid w:val="00AF70D0"/>
    <w:rsid w:val="00AF7334"/>
    <w:rsid w:val="00B014B8"/>
    <w:rsid w:val="00B050B1"/>
    <w:rsid w:val="00B054CF"/>
    <w:rsid w:val="00B16B2A"/>
    <w:rsid w:val="00B17A4C"/>
    <w:rsid w:val="00B25FCE"/>
    <w:rsid w:val="00B264A1"/>
    <w:rsid w:val="00B3118E"/>
    <w:rsid w:val="00B3511D"/>
    <w:rsid w:val="00B40BD1"/>
    <w:rsid w:val="00B41C90"/>
    <w:rsid w:val="00B449BB"/>
    <w:rsid w:val="00B46D77"/>
    <w:rsid w:val="00B533D1"/>
    <w:rsid w:val="00B541AF"/>
    <w:rsid w:val="00B54D43"/>
    <w:rsid w:val="00B56527"/>
    <w:rsid w:val="00B568FE"/>
    <w:rsid w:val="00B67E40"/>
    <w:rsid w:val="00B7184D"/>
    <w:rsid w:val="00B747AA"/>
    <w:rsid w:val="00B800D8"/>
    <w:rsid w:val="00B83535"/>
    <w:rsid w:val="00B839B3"/>
    <w:rsid w:val="00B83B8C"/>
    <w:rsid w:val="00B846D7"/>
    <w:rsid w:val="00B87645"/>
    <w:rsid w:val="00B87C09"/>
    <w:rsid w:val="00B911DB"/>
    <w:rsid w:val="00B93E5D"/>
    <w:rsid w:val="00B945E7"/>
    <w:rsid w:val="00B96032"/>
    <w:rsid w:val="00B968E0"/>
    <w:rsid w:val="00BA0EB1"/>
    <w:rsid w:val="00BA12D4"/>
    <w:rsid w:val="00BA1BC2"/>
    <w:rsid w:val="00BB227D"/>
    <w:rsid w:val="00BB3B24"/>
    <w:rsid w:val="00BC265A"/>
    <w:rsid w:val="00BD24BF"/>
    <w:rsid w:val="00BD4CCB"/>
    <w:rsid w:val="00BD64E4"/>
    <w:rsid w:val="00BE2FD0"/>
    <w:rsid w:val="00BE3614"/>
    <w:rsid w:val="00BE5352"/>
    <w:rsid w:val="00BE6608"/>
    <w:rsid w:val="00BE6A0D"/>
    <w:rsid w:val="00BF2AD8"/>
    <w:rsid w:val="00BF4020"/>
    <w:rsid w:val="00BF5DD1"/>
    <w:rsid w:val="00C00A96"/>
    <w:rsid w:val="00C00E7B"/>
    <w:rsid w:val="00C014D5"/>
    <w:rsid w:val="00C0217D"/>
    <w:rsid w:val="00C068C8"/>
    <w:rsid w:val="00C07D08"/>
    <w:rsid w:val="00C07D48"/>
    <w:rsid w:val="00C11ED5"/>
    <w:rsid w:val="00C13F3C"/>
    <w:rsid w:val="00C237D2"/>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2086"/>
    <w:rsid w:val="00C624B7"/>
    <w:rsid w:val="00C63552"/>
    <w:rsid w:val="00C64536"/>
    <w:rsid w:val="00C64D68"/>
    <w:rsid w:val="00C660B7"/>
    <w:rsid w:val="00C66937"/>
    <w:rsid w:val="00C678B7"/>
    <w:rsid w:val="00C72345"/>
    <w:rsid w:val="00C75762"/>
    <w:rsid w:val="00C838D2"/>
    <w:rsid w:val="00C856AA"/>
    <w:rsid w:val="00C85B1B"/>
    <w:rsid w:val="00C92940"/>
    <w:rsid w:val="00CA033A"/>
    <w:rsid w:val="00CA06EA"/>
    <w:rsid w:val="00CA38A1"/>
    <w:rsid w:val="00CA729A"/>
    <w:rsid w:val="00CB0DEC"/>
    <w:rsid w:val="00CB3409"/>
    <w:rsid w:val="00CB4F4E"/>
    <w:rsid w:val="00CB67D4"/>
    <w:rsid w:val="00CC31C7"/>
    <w:rsid w:val="00CC3EBF"/>
    <w:rsid w:val="00CC678F"/>
    <w:rsid w:val="00CC7220"/>
    <w:rsid w:val="00CF4011"/>
    <w:rsid w:val="00CF51AB"/>
    <w:rsid w:val="00CF5744"/>
    <w:rsid w:val="00CF70C6"/>
    <w:rsid w:val="00D0093C"/>
    <w:rsid w:val="00D035BE"/>
    <w:rsid w:val="00D04F63"/>
    <w:rsid w:val="00D122EA"/>
    <w:rsid w:val="00D122EE"/>
    <w:rsid w:val="00D12837"/>
    <w:rsid w:val="00D16589"/>
    <w:rsid w:val="00D168B7"/>
    <w:rsid w:val="00D22747"/>
    <w:rsid w:val="00D25CB9"/>
    <w:rsid w:val="00D26235"/>
    <w:rsid w:val="00D313D4"/>
    <w:rsid w:val="00D3201F"/>
    <w:rsid w:val="00D32B41"/>
    <w:rsid w:val="00D33467"/>
    <w:rsid w:val="00D344E0"/>
    <w:rsid w:val="00D34DA5"/>
    <w:rsid w:val="00D42067"/>
    <w:rsid w:val="00D44175"/>
    <w:rsid w:val="00D50948"/>
    <w:rsid w:val="00D51A97"/>
    <w:rsid w:val="00D545F0"/>
    <w:rsid w:val="00D5644F"/>
    <w:rsid w:val="00D573B6"/>
    <w:rsid w:val="00D61595"/>
    <w:rsid w:val="00D65524"/>
    <w:rsid w:val="00D66D7B"/>
    <w:rsid w:val="00D66EA8"/>
    <w:rsid w:val="00D67BC9"/>
    <w:rsid w:val="00D7106D"/>
    <w:rsid w:val="00D7368F"/>
    <w:rsid w:val="00D804A5"/>
    <w:rsid w:val="00D8364E"/>
    <w:rsid w:val="00D85AB4"/>
    <w:rsid w:val="00D90AA4"/>
    <w:rsid w:val="00D918EF"/>
    <w:rsid w:val="00D95998"/>
    <w:rsid w:val="00D965C2"/>
    <w:rsid w:val="00DA04C0"/>
    <w:rsid w:val="00DA2B99"/>
    <w:rsid w:val="00DA75D2"/>
    <w:rsid w:val="00DB021A"/>
    <w:rsid w:val="00DB0ADE"/>
    <w:rsid w:val="00DB61F4"/>
    <w:rsid w:val="00DB7081"/>
    <w:rsid w:val="00DC12ED"/>
    <w:rsid w:val="00DC2587"/>
    <w:rsid w:val="00DC548D"/>
    <w:rsid w:val="00DC5BDA"/>
    <w:rsid w:val="00DC6F63"/>
    <w:rsid w:val="00DD7736"/>
    <w:rsid w:val="00DE1654"/>
    <w:rsid w:val="00DE2DF8"/>
    <w:rsid w:val="00DE4234"/>
    <w:rsid w:val="00DF1338"/>
    <w:rsid w:val="00DF397B"/>
    <w:rsid w:val="00DF4420"/>
    <w:rsid w:val="00DF56BA"/>
    <w:rsid w:val="00DF57A4"/>
    <w:rsid w:val="00DF6245"/>
    <w:rsid w:val="00E01BCD"/>
    <w:rsid w:val="00E02A66"/>
    <w:rsid w:val="00E0440C"/>
    <w:rsid w:val="00E0650F"/>
    <w:rsid w:val="00E14D60"/>
    <w:rsid w:val="00E1506C"/>
    <w:rsid w:val="00E153BD"/>
    <w:rsid w:val="00E2285F"/>
    <w:rsid w:val="00E232D9"/>
    <w:rsid w:val="00E25193"/>
    <w:rsid w:val="00E32646"/>
    <w:rsid w:val="00E37E4C"/>
    <w:rsid w:val="00E40B59"/>
    <w:rsid w:val="00E4311D"/>
    <w:rsid w:val="00E4692F"/>
    <w:rsid w:val="00E47226"/>
    <w:rsid w:val="00E502A3"/>
    <w:rsid w:val="00E50E5A"/>
    <w:rsid w:val="00E537E0"/>
    <w:rsid w:val="00E622C0"/>
    <w:rsid w:val="00E71758"/>
    <w:rsid w:val="00E80314"/>
    <w:rsid w:val="00E80C8F"/>
    <w:rsid w:val="00E8712D"/>
    <w:rsid w:val="00E87617"/>
    <w:rsid w:val="00E87B90"/>
    <w:rsid w:val="00E93543"/>
    <w:rsid w:val="00E9484E"/>
    <w:rsid w:val="00EA6147"/>
    <w:rsid w:val="00EA675C"/>
    <w:rsid w:val="00EA7F4F"/>
    <w:rsid w:val="00EB1E8F"/>
    <w:rsid w:val="00EB32D8"/>
    <w:rsid w:val="00EB52ED"/>
    <w:rsid w:val="00EC2F95"/>
    <w:rsid w:val="00EC3EF6"/>
    <w:rsid w:val="00EC3F48"/>
    <w:rsid w:val="00EC56AD"/>
    <w:rsid w:val="00ED1264"/>
    <w:rsid w:val="00ED337F"/>
    <w:rsid w:val="00ED3DE5"/>
    <w:rsid w:val="00ED5DEC"/>
    <w:rsid w:val="00ED70BE"/>
    <w:rsid w:val="00ED7CFF"/>
    <w:rsid w:val="00EE37D2"/>
    <w:rsid w:val="00EE385D"/>
    <w:rsid w:val="00EE4BB7"/>
    <w:rsid w:val="00EE692B"/>
    <w:rsid w:val="00EF08A2"/>
    <w:rsid w:val="00EF2E30"/>
    <w:rsid w:val="00EF5BA1"/>
    <w:rsid w:val="00EF7DDA"/>
    <w:rsid w:val="00F00C42"/>
    <w:rsid w:val="00F0154C"/>
    <w:rsid w:val="00F01DA1"/>
    <w:rsid w:val="00F1530A"/>
    <w:rsid w:val="00F16CAC"/>
    <w:rsid w:val="00F17E06"/>
    <w:rsid w:val="00F20B72"/>
    <w:rsid w:val="00F20EA3"/>
    <w:rsid w:val="00F24797"/>
    <w:rsid w:val="00F34A92"/>
    <w:rsid w:val="00F35E54"/>
    <w:rsid w:val="00F41104"/>
    <w:rsid w:val="00F43F9D"/>
    <w:rsid w:val="00F51A91"/>
    <w:rsid w:val="00F57FB3"/>
    <w:rsid w:val="00F60239"/>
    <w:rsid w:val="00F610CD"/>
    <w:rsid w:val="00F638B4"/>
    <w:rsid w:val="00F66287"/>
    <w:rsid w:val="00F66526"/>
    <w:rsid w:val="00F76520"/>
    <w:rsid w:val="00F83F60"/>
    <w:rsid w:val="00F84378"/>
    <w:rsid w:val="00F85B49"/>
    <w:rsid w:val="00F934E1"/>
    <w:rsid w:val="00F95D6E"/>
    <w:rsid w:val="00F96CF2"/>
    <w:rsid w:val="00FA119E"/>
    <w:rsid w:val="00FA4A2F"/>
    <w:rsid w:val="00FB091C"/>
    <w:rsid w:val="00FB588A"/>
    <w:rsid w:val="00FC577F"/>
    <w:rsid w:val="00FC5F7C"/>
    <w:rsid w:val="00FC79B4"/>
    <w:rsid w:val="00FD1378"/>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39947189/" TargetMode="External"/><Relationship Id="rId26" Type="http://schemas.openxmlformats.org/officeDocument/2006/relationships/hyperlink" Target="https://pmc.ncbi.nlm.nih.gov/articles/PMC12907308/" TargetMode="External"/><Relationship Id="rId39" Type="http://schemas.openxmlformats.org/officeDocument/2006/relationships/hyperlink" Target="https://pmc.ncbi.nlm.nih.gov/articles/PMC12943453/" TargetMode="External"/><Relationship Id="rId3" Type="http://schemas.openxmlformats.org/officeDocument/2006/relationships/styles" Target="styles.xml"/><Relationship Id="rId21" Type="http://schemas.openxmlformats.org/officeDocument/2006/relationships/hyperlink" Target="https://pmc.ncbi.nlm.nih.gov/articles/PMC12857606/" TargetMode="External"/><Relationship Id="rId34" Type="http://schemas.openxmlformats.org/officeDocument/2006/relationships/hyperlink" Target="https://pubmed.ncbi.nlm.nih.gov/41674108/" TargetMode="External"/><Relationship Id="rId42" Type="http://schemas.openxmlformats.org/officeDocument/2006/relationships/hyperlink" Target="https://pubmed.ncbi.nlm.nih.gov/41668854/" TargetMode="External"/><Relationship Id="rId47"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mc.ncbi.nlm.nih.gov/articles/PMC12901142/" TargetMode="External"/><Relationship Id="rId25" Type="http://schemas.openxmlformats.org/officeDocument/2006/relationships/hyperlink" Target="https://pubmed.ncbi.nlm.nih.gov/41704683/" TargetMode="External"/><Relationship Id="rId33" Type="http://schemas.openxmlformats.org/officeDocument/2006/relationships/hyperlink" Target="https://thejns.org/focus/view/journals/neurosurg-focus/60/2/article-pE7.xml" TargetMode="External"/><Relationship Id="rId38" Type="http://schemas.openxmlformats.org/officeDocument/2006/relationships/hyperlink" Target="https://pubmed.ncbi.nlm.nih.gov/41745711/" TargetMode="External"/><Relationship Id="rId46" Type="http://schemas.openxmlformats.org/officeDocument/2006/relationships/hyperlink" Target="http://www.physioghana.com" TargetMode="External"/><Relationship Id="rId2" Type="http://schemas.openxmlformats.org/officeDocument/2006/relationships/numbering" Target="numbering.xml"/><Relationship Id="rId16" Type="http://schemas.openxmlformats.org/officeDocument/2006/relationships/hyperlink" Target="https://pubmed.ncbi.nlm.nih.gov/41680583/" TargetMode="External"/><Relationship Id="rId20" Type="http://schemas.openxmlformats.org/officeDocument/2006/relationships/hyperlink" Target="https://pubmed.ncbi.nlm.nih.gov/41615263/" TargetMode="External"/><Relationship Id="rId29" Type="http://schemas.openxmlformats.org/officeDocument/2006/relationships/hyperlink" Target="https://www.sciencedirect.com/science/article/pii/S0166432825004607?via%3Dihub" TargetMode="External"/><Relationship Id="rId41" Type="http://schemas.openxmlformats.org/officeDocument/2006/relationships/hyperlink" Target="https://pubmed.ncbi.nlm.nih.gov/4167876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mc.ncbi.nlm.nih.gov/articles/PMC12935452/" TargetMode="External"/><Relationship Id="rId32" Type="http://schemas.openxmlformats.org/officeDocument/2006/relationships/hyperlink" Target="https://pubmed.ncbi.nlm.nih.gov/41621102/" TargetMode="External"/><Relationship Id="rId37" Type="http://schemas.openxmlformats.org/officeDocument/2006/relationships/hyperlink" Target="https://pmc.ncbi.nlm.nih.gov/articles/PMC12947126/" TargetMode="External"/><Relationship Id="rId40" Type="http://schemas.openxmlformats.org/officeDocument/2006/relationships/hyperlink" Target="https://pubmed.ncbi.nlm.nih.gov/41718194/" TargetMode="External"/><Relationship Id="rId45" Type="http://schemas.openxmlformats.org/officeDocument/2006/relationships/hyperlink" Target="mailto:ebpresearchgroup_gpa@outlook.com" TargetMode="External"/><Relationship Id="rId5" Type="http://schemas.openxmlformats.org/officeDocument/2006/relationships/webSettings" Target="webSettings.xml"/><Relationship Id="rId15" Type="http://schemas.openxmlformats.org/officeDocument/2006/relationships/hyperlink" Target="https://journals.lww.com/ajpmr/fulltext/2026/02000/canadian_stroke_best_practice_recommendations.8.aspx" TargetMode="External"/><Relationship Id="rId23" Type="http://schemas.openxmlformats.org/officeDocument/2006/relationships/hyperlink" Target="https://pubmed.ncbi.nlm.nih.gov/41757298/" TargetMode="External"/><Relationship Id="rId28" Type="http://schemas.openxmlformats.org/officeDocument/2006/relationships/hyperlink" Target="https://pubmed.ncbi.nlm.nih.gov/41101592/" TargetMode="External"/><Relationship Id="rId36" Type="http://schemas.openxmlformats.org/officeDocument/2006/relationships/hyperlink" Target="https://pubmed.ncbi.nlm.nih.gov/41769093/" TargetMode="External"/><Relationship Id="rId49" Type="http://schemas.openxmlformats.org/officeDocument/2006/relationships/theme" Target="theme/theme1.xml"/><Relationship Id="rId10" Type="http://schemas.openxmlformats.org/officeDocument/2006/relationships/hyperlink" Target="https://pubmed.ncbi.nlm.nih.gov/advanced/" TargetMode="External"/><Relationship Id="rId19" Type="http://schemas.openxmlformats.org/officeDocument/2006/relationships/hyperlink" Target="https://pubmed.ncbi.nlm.nih.gov/41202399/" TargetMode="External"/><Relationship Id="rId31" Type="http://schemas.openxmlformats.org/officeDocument/2006/relationships/hyperlink" Target="https://pubmed.ncbi.nlm.nih.gov/41401734/" TargetMode="External"/><Relationship Id="rId44" Type="http://schemas.openxmlformats.org/officeDocument/2006/relationships/hyperlink" Target="mailto:arthritisevidenceupdates@outlook.com" TargetMode="Externa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1257457/" TargetMode="External"/><Relationship Id="rId22" Type="http://schemas.openxmlformats.org/officeDocument/2006/relationships/hyperlink" Target="https://pubmed.ncbi.nlm.nih.gov/40844962/" TargetMode="External"/><Relationship Id="rId27" Type="http://schemas.openxmlformats.org/officeDocument/2006/relationships/hyperlink" Target="https://pubmed.ncbi.nlm.nih.gov/41242679/" TargetMode="External"/><Relationship Id="rId30" Type="http://schemas.openxmlformats.org/officeDocument/2006/relationships/hyperlink" Target="https://pubmed.ncbi.nlm.nih.gov/40992954/" TargetMode="External"/><Relationship Id="rId35" Type="http://schemas.openxmlformats.org/officeDocument/2006/relationships/hyperlink" Target="https://pmc.ncbi.nlm.nih.gov/articles/PMC12914644/" TargetMode="External"/><Relationship Id="rId43" Type="http://schemas.openxmlformats.org/officeDocument/2006/relationships/hyperlink" Target="https://pubmed.ncbi.nlm.nih.gov/41656425/" TargetMode="External"/><Relationship Id="rId48"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5591</Words>
  <Characters>31872</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2</cp:revision>
  <dcterms:created xsi:type="dcterms:W3CDTF">2026-03-22T23:09:00Z</dcterms:created>
  <dcterms:modified xsi:type="dcterms:W3CDTF">2026-03-22T23:09:00Z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